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E719"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591197B9" w:rsidR="00912019" w:rsidRDefault="00912019" w:rsidP="00912019">
      <w:pPr>
        <w:spacing w:after="0" w:line="240" w:lineRule="auto"/>
        <w:jc w:val="center"/>
        <w:rPr>
          <w:rFonts w:ascii="Times New Roman" w:eastAsia="Calibri" w:hAnsi="Times New Roman" w:cs="Times New Roman"/>
          <w:b/>
          <w:sz w:val="24"/>
          <w:szCs w:val="24"/>
          <w:lang w:eastAsia="hr-HR"/>
        </w:rPr>
      </w:pPr>
    </w:p>
    <w:p w14:paraId="12F66FFF" w14:textId="133350AC" w:rsidR="00623ABA" w:rsidRDefault="00623ABA" w:rsidP="00912019">
      <w:pPr>
        <w:spacing w:after="0" w:line="240" w:lineRule="auto"/>
        <w:jc w:val="center"/>
        <w:rPr>
          <w:rFonts w:ascii="Times New Roman" w:eastAsia="Calibri" w:hAnsi="Times New Roman" w:cs="Times New Roman"/>
          <w:b/>
          <w:sz w:val="24"/>
          <w:szCs w:val="24"/>
          <w:lang w:eastAsia="hr-HR"/>
        </w:rPr>
      </w:pPr>
    </w:p>
    <w:p w14:paraId="32AA9174" w14:textId="77777777" w:rsidR="00623ABA" w:rsidRPr="00912019" w:rsidRDefault="00623ABA" w:rsidP="00912019">
      <w:pPr>
        <w:spacing w:after="0" w:line="240" w:lineRule="auto"/>
        <w:jc w:val="center"/>
        <w:rPr>
          <w:rFonts w:ascii="Times New Roman" w:eastAsia="Calibri" w:hAnsi="Times New Roman" w:cs="Times New Roman"/>
          <w:b/>
          <w:sz w:val="24"/>
          <w:szCs w:val="24"/>
          <w:lang w:eastAsia="hr-HR"/>
        </w:rPr>
      </w:pP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F287B08" w14:textId="77777777" w:rsidR="005D1D29" w:rsidRDefault="00912019" w:rsidP="005D1D2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5222A3EF" w14:textId="77777777" w:rsidR="005D1D29" w:rsidRPr="005D1D29" w:rsidRDefault="005D1D29" w:rsidP="005D1D29">
      <w:pPr>
        <w:spacing w:after="0" w:line="240" w:lineRule="auto"/>
        <w:jc w:val="center"/>
        <w:rPr>
          <w:rFonts w:ascii="Times New Roman" w:eastAsia="Calibri" w:hAnsi="Times New Roman" w:cs="Times New Roman"/>
          <w:b/>
          <w:sz w:val="28"/>
          <w:szCs w:val="28"/>
          <w:lang w:eastAsia="hr-HR"/>
        </w:rPr>
      </w:pPr>
    </w:p>
    <w:p w14:paraId="15F7F991" w14:textId="77777777" w:rsidR="005D1D29" w:rsidRPr="005D1D29" w:rsidRDefault="005D1D29" w:rsidP="005D1D29">
      <w:pPr>
        <w:spacing w:after="0" w:line="240" w:lineRule="auto"/>
        <w:jc w:val="center"/>
        <w:rPr>
          <w:rFonts w:ascii="Times New Roman" w:eastAsia="Calibri" w:hAnsi="Times New Roman" w:cs="Times New Roman"/>
          <w:b/>
          <w:sz w:val="28"/>
          <w:szCs w:val="28"/>
          <w:lang w:eastAsia="hr-HR"/>
        </w:rPr>
      </w:pPr>
    </w:p>
    <w:p w14:paraId="652DFF2C" w14:textId="29BE0E6A" w:rsidR="005D1D29" w:rsidRDefault="005D1D29" w:rsidP="005D1D29">
      <w:pPr>
        <w:spacing w:after="0" w:line="240" w:lineRule="auto"/>
        <w:jc w:val="center"/>
        <w:rPr>
          <w:rFonts w:ascii="Times New Roman" w:eastAsia="Calibri" w:hAnsi="Times New Roman" w:cs="Times New Roman"/>
          <w:b/>
          <w:sz w:val="28"/>
          <w:szCs w:val="28"/>
          <w:lang w:eastAsia="hr-HR"/>
        </w:rPr>
      </w:pPr>
    </w:p>
    <w:p w14:paraId="7B3BBC77" w14:textId="3DBA17C4" w:rsidR="00230F7C" w:rsidRDefault="00230F7C" w:rsidP="005D1D29">
      <w:pPr>
        <w:spacing w:after="0" w:line="240" w:lineRule="auto"/>
        <w:jc w:val="center"/>
        <w:rPr>
          <w:rFonts w:ascii="Times New Roman" w:eastAsia="Calibri" w:hAnsi="Times New Roman" w:cs="Times New Roman"/>
          <w:b/>
          <w:sz w:val="28"/>
          <w:szCs w:val="28"/>
          <w:lang w:eastAsia="hr-HR"/>
        </w:rPr>
      </w:pPr>
    </w:p>
    <w:p w14:paraId="272EA1D5" w14:textId="430323DF" w:rsidR="00230F7C" w:rsidRDefault="00230F7C" w:rsidP="005D1D29">
      <w:pPr>
        <w:spacing w:after="0" w:line="240" w:lineRule="auto"/>
        <w:jc w:val="center"/>
        <w:rPr>
          <w:rFonts w:ascii="Times New Roman" w:eastAsia="Calibri" w:hAnsi="Times New Roman" w:cs="Times New Roman"/>
          <w:b/>
          <w:sz w:val="28"/>
          <w:szCs w:val="28"/>
          <w:lang w:eastAsia="hr-HR"/>
        </w:rPr>
      </w:pPr>
    </w:p>
    <w:p w14:paraId="6A840464" w14:textId="65A95D1F" w:rsidR="00230F7C" w:rsidRDefault="00230F7C" w:rsidP="005D1D29">
      <w:pPr>
        <w:spacing w:after="0" w:line="240" w:lineRule="auto"/>
        <w:jc w:val="center"/>
        <w:rPr>
          <w:rFonts w:ascii="Times New Roman" w:eastAsia="Calibri" w:hAnsi="Times New Roman" w:cs="Times New Roman"/>
          <w:b/>
          <w:sz w:val="28"/>
          <w:szCs w:val="28"/>
          <w:lang w:eastAsia="hr-HR"/>
        </w:rPr>
      </w:pPr>
    </w:p>
    <w:p w14:paraId="2D666493" w14:textId="4C2D2DF9" w:rsidR="00230F7C" w:rsidRDefault="00230F7C" w:rsidP="005D1D29">
      <w:pPr>
        <w:spacing w:after="0" w:line="240" w:lineRule="auto"/>
        <w:jc w:val="center"/>
        <w:rPr>
          <w:rFonts w:ascii="Times New Roman" w:eastAsia="Calibri" w:hAnsi="Times New Roman" w:cs="Times New Roman"/>
          <w:b/>
          <w:sz w:val="28"/>
          <w:szCs w:val="28"/>
          <w:lang w:eastAsia="hr-HR"/>
        </w:rPr>
      </w:pPr>
    </w:p>
    <w:p w14:paraId="7C4989BD" w14:textId="2C360129" w:rsidR="00230F7C" w:rsidRDefault="00230F7C" w:rsidP="005D1D29">
      <w:pPr>
        <w:spacing w:after="0" w:line="240" w:lineRule="auto"/>
        <w:jc w:val="center"/>
        <w:rPr>
          <w:rFonts w:ascii="Times New Roman" w:eastAsia="Calibri" w:hAnsi="Times New Roman" w:cs="Times New Roman"/>
          <w:b/>
          <w:sz w:val="28"/>
          <w:szCs w:val="28"/>
          <w:lang w:eastAsia="hr-HR"/>
        </w:rPr>
      </w:pPr>
    </w:p>
    <w:p w14:paraId="2ED75225" w14:textId="15771D86" w:rsidR="00230F7C" w:rsidRDefault="00230F7C" w:rsidP="005D1D29">
      <w:pPr>
        <w:spacing w:after="0" w:line="240" w:lineRule="auto"/>
        <w:jc w:val="center"/>
        <w:rPr>
          <w:rFonts w:ascii="Times New Roman" w:eastAsia="Calibri" w:hAnsi="Times New Roman" w:cs="Times New Roman"/>
          <w:b/>
          <w:sz w:val="28"/>
          <w:szCs w:val="28"/>
          <w:lang w:eastAsia="hr-HR"/>
        </w:rPr>
      </w:pPr>
    </w:p>
    <w:p w14:paraId="15B46D7B" w14:textId="45D8CC51" w:rsidR="00230F7C" w:rsidRDefault="00230F7C" w:rsidP="005D1D29">
      <w:pPr>
        <w:spacing w:after="0" w:line="240" w:lineRule="auto"/>
        <w:jc w:val="center"/>
        <w:rPr>
          <w:rFonts w:ascii="Times New Roman" w:eastAsia="Calibri" w:hAnsi="Times New Roman" w:cs="Times New Roman"/>
          <w:b/>
          <w:sz w:val="28"/>
          <w:szCs w:val="28"/>
          <w:lang w:eastAsia="hr-HR"/>
        </w:rPr>
      </w:pPr>
    </w:p>
    <w:p w14:paraId="292327F4" w14:textId="44C07E07" w:rsidR="00230F7C" w:rsidRDefault="00230F7C" w:rsidP="005D1D29">
      <w:pPr>
        <w:spacing w:after="0" w:line="240" w:lineRule="auto"/>
        <w:jc w:val="center"/>
        <w:rPr>
          <w:rFonts w:ascii="Times New Roman" w:eastAsia="Calibri" w:hAnsi="Times New Roman" w:cs="Times New Roman"/>
          <w:b/>
          <w:sz w:val="28"/>
          <w:szCs w:val="28"/>
          <w:lang w:eastAsia="hr-HR"/>
        </w:rPr>
      </w:pPr>
    </w:p>
    <w:p w14:paraId="27AFA9D6" w14:textId="191341AC" w:rsidR="00230F7C" w:rsidRDefault="00230F7C" w:rsidP="005D1D29">
      <w:pPr>
        <w:spacing w:after="0" w:line="240" w:lineRule="auto"/>
        <w:jc w:val="center"/>
        <w:rPr>
          <w:rFonts w:ascii="Times New Roman" w:eastAsia="Calibri" w:hAnsi="Times New Roman" w:cs="Times New Roman"/>
          <w:b/>
          <w:sz w:val="28"/>
          <w:szCs w:val="28"/>
          <w:lang w:eastAsia="hr-HR"/>
        </w:rPr>
      </w:pPr>
    </w:p>
    <w:p w14:paraId="12CB2F8A" w14:textId="17EB829F" w:rsidR="00230F7C" w:rsidRDefault="00230F7C" w:rsidP="005D1D29">
      <w:pPr>
        <w:spacing w:after="0" w:line="240" w:lineRule="auto"/>
        <w:jc w:val="center"/>
        <w:rPr>
          <w:rFonts w:ascii="Times New Roman" w:eastAsia="Calibri" w:hAnsi="Times New Roman" w:cs="Times New Roman"/>
          <w:b/>
          <w:sz w:val="28"/>
          <w:szCs w:val="28"/>
          <w:lang w:eastAsia="hr-HR"/>
        </w:rPr>
      </w:pPr>
    </w:p>
    <w:p w14:paraId="40FEDE29" w14:textId="0C9DA0EA" w:rsidR="00230F7C" w:rsidRDefault="00230F7C" w:rsidP="005D1D29">
      <w:pPr>
        <w:spacing w:after="0" w:line="240" w:lineRule="auto"/>
        <w:jc w:val="center"/>
        <w:rPr>
          <w:rFonts w:ascii="Times New Roman" w:eastAsia="Calibri" w:hAnsi="Times New Roman" w:cs="Times New Roman"/>
          <w:b/>
          <w:sz w:val="28"/>
          <w:szCs w:val="28"/>
          <w:lang w:eastAsia="hr-HR"/>
        </w:rPr>
      </w:pPr>
    </w:p>
    <w:p w14:paraId="1632F891" w14:textId="3C76980F" w:rsidR="00230F7C" w:rsidRDefault="00230F7C" w:rsidP="005D1D29">
      <w:pPr>
        <w:spacing w:after="0" w:line="240" w:lineRule="auto"/>
        <w:jc w:val="center"/>
        <w:rPr>
          <w:rFonts w:ascii="Times New Roman" w:eastAsia="Calibri" w:hAnsi="Times New Roman" w:cs="Times New Roman"/>
          <w:b/>
          <w:sz w:val="28"/>
          <w:szCs w:val="28"/>
          <w:lang w:eastAsia="hr-HR"/>
        </w:rPr>
      </w:pPr>
    </w:p>
    <w:p w14:paraId="2CB458EF" w14:textId="1DC4885E" w:rsidR="00230F7C" w:rsidRDefault="00230F7C" w:rsidP="005D1D29">
      <w:pPr>
        <w:spacing w:after="0" w:line="240" w:lineRule="auto"/>
        <w:jc w:val="center"/>
        <w:rPr>
          <w:rFonts w:ascii="Times New Roman" w:eastAsia="Calibri" w:hAnsi="Times New Roman" w:cs="Times New Roman"/>
          <w:b/>
          <w:sz w:val="28"/>
          <w:szCs w:val="28"/>
          <w:lang w:eastAsia="hr-HR"/>
        </w:rPr>
      </w:pPr>
    </w:p>
    <w:p w14:paraId="17B032D3" w14:textId="559052FA" w:rsidR="00230F7C" w:rsidRDefault="00230F7C" w:rsidP="005D1D29">
      <w:pPr>
        <w:spacing w:after="0" w:line="240" w:lineRule="auto"/>
        <w:jc w:val="center"/>
        <w:rPr>
          <w:rFonts w:ascii="Times New Roman" w:eastAsia="Calibri" w:hAnsi="Times New Roman" w:cs="Times New Roman"/>
          <w:b/>
          <w:sz w:val="28"/>
          <w:szCs w:val="28"/>
          <w:lang w:eastAsia="hr-HR"/>
        </w:rPr>
      </w:pPr>
    </w:p>
    <w:p w14:paraId="1CCC26A6" w14:textId="5EF3825F" w:rsidR="00623ABA" w:rsidRDefault="00623ABA" w:rsidP="005D1D29">
      <w:pPr>
        <w:spacing w:after="0" w:line="240" w:lineRule="auto"/>
        <w:jc w:val="center"/>
        <w:rPr>
          <w:rFonts w:ascii="Times New Roman" w:eastAsia="Calibri" w:hAnsi="Times New Roman" w:cs="Times New Roman"/>
          <w:b/>
          <w:sz w:val="28"/>
          <w:szCs w:val="28"/>
          <w:lang w:eastAsia="hr-HR"/>
        </w:rPr>
      </w:pPr>
    </w:p>
    <w:p w14:paraId="3EDD6F12" w14:textId="4FFAE958" w:rsidR="00623ABA" w:rsidRDefault="00623ABA" w:rsidP="005D1D29">
      <w:pPr>
        <w:spacing w:after="0" w:line="240" w:lineRule="auto"/>
        <w:jc w:val="center"/>
        <w:rPr>
          <w:rFonts w:ascii="Times New Roman" w:eastAsia="Calibri" w:hAnsi="Times New Roman" w:cs="Times New Roman"/>
          <w:b/>
          <w:sz w:val="28"/>
          <w:szCs w:val="28"/>
          <w:lang w:eastAsia="hr-HR"/>
        </w:rPr>
      </w:pPr>
    </w:p>
    <w:p w14:paraId="67D6ACB5" w14:textId="31AC907E" w:rsidR="00623ABA" w:rsidRDefault="00623ABA" w:rsidP="005D1D29">
      <w:pPr>
        <w:spacing w:after="0" w:line="240" w:lineRule="auto"/>
        <w:jc w:val="center"/>
        <w:rPr>
          <w:rFonts w:ascii="Times New Roman" w:eastAsia="Calibri" w:hAnsi="Times New Roman" w:cs="Times New Roman"/>
          <w:b/>
          <w:sz w:val="28"/>
          <w:szCs w:val="28"/>
          <w:lang w:eastAsia="hr-HR"/>
        </w:rPr>
      </w:pPr>
    </w:p>
    <w:p w14:paraId="44300B76" w14:textId="023497F8" w:rsidR="00623ABA" w:rsidRDefault="00623ABA" w:rsidP="005D1D29">
      <w:pPr>
        <w:spacing w:after="0" w:line="240" w:lineRule="auto"/>
        <w:jc w:val="center"/>
        <w:rPr>
          <w:rFonts w:ascii="Times New Roman" w:eastAsia="Calibri" w:hAnsi="Times New Roman" w:cs="Times New Roman"/>
          <w:b/>
          <w:sz w:val="28"/>
          <w:szCs w:val="28"/>
          <w:lang w:eastAsia="hr-HR"/>
        </w:rPr>
      </w:pPr>
    </w:p>
    <w:p w14:paraId="36B6C05D" w14:textId="1BFE7D44" w:rsidR="00623ABA" w:rsidRDefault="00623ABA" w:rsidP="005D1D29">
      <w:pPr>
        <w:spacing w:after="0" w:line="240" w:lineRule="auto"/>
        <w:jc w:val="center"/>
        <w:rPr>
          <w:rFonts w:ascii="Times New Roman" w:eastAsia="Calibri" w:hAnsi="Times New Roman" w:cs="Times New Roman"/>
          <w:b/>
          <w:sz w:val="28"/>
          <w:szCs w:val="28"/>
          <w:lang w:eastAsia="hr-HR"/>
        </w:rPr>
      </w:pPr>
    </w:p>
    <w:p w14:paraId="0D185D24" w14:textId="77777777" w:rsidR="00623ABA" w:rsidRDefault="00623ABA" w:rsidP="005D1D29">
      <w:pPr>
        <w:spacing w:after="0" w:line="240" w:lineRule="auto"/>
        <w:jc w:val="center"/>
        <w:rPr>
          <w:rFonts w:ascii="Times New Roman" w:eastAsia="Calibri" w:hAnsi="Times New Roman" w:cs="Times New Roman"/>
          <w:b/>
          <w:sz w:val="28"/>
          <w:szCs w:val="28"/>
          <w:lang w:eastAsia="hr-HR"/>
        </w:rPr>
      </w:pPr>
    </w:p>
    <w:p w14:paraId="0E9541C1" w14:textId="0F0836F9" w:rsidR="00230F7C" w:rsidRDefault="00230F7C" w:rsidP="005D1D29">
      <w:pPr>
        <w:spacing w:after="0" w:line="240" w:lineRule="auto"/>
        <w:jc w:val="center"/>
        <w:rPr>
          <w:rFonts w:ascii="Times New Roman" w:eastAsia="Calibri" w:hAnsi="Times New Roman" w:cs="Times New Roman"/>
          <w:b/>
          <w:sz w:val="28"/>
          <w:szCs w:val="28"/>
          <w:lang w:eastAsia="hr-HR"/>
        </w:rPr>
      </w:pPr>
    </w:p>
    <w:p w14:paraId="4931A83A" w14:textId="110F94A3" w:rsidR="00230F7C" w:rsidRDefault="00230F7C" w:rsidP="005D1D29">
      <w:pPr>
        <w:spacing w:after="0" w:line="240" w:lineRule="auto"/>
        <w:jc w:val="center"/>
        <w:rPr>
          <w:rFonts w:ascii="Times New Roman" w:eastAsia="Calibri" w:hAnsi="Times New Roman" w:cs="Times New Roman"/>
          <w:b/>
          <w:sz w:val="28"/>
          <w:szCs w:val="28"/>
          <w:lang w:eastAsia="hr-HR"/>
        </w:rPr>
      </w:pPr>
    </w:p>
    <w:p w14:paraId="1DC5E358" w14:textId="4BAF6E4D" w:rsidR="00230F7C" w:rsidRDefault="00230F7C" w:rsidP="005D1D29">
      <w:pPr>
        <w:spacing w:after="0" w:line="240" w:lineRule="auto"/>
        <w:jc w:val="center"/>
        <w:rPr>
          <w:rFonts w:ascii="Times New Roman" w:eastAsia="Calibri" w:hAnsi="Times New Roman" w:cs="Times New Roman"/>
          <w:b/>
          <w:sz w:val="28"/>
          <w:szCs w:val="28"/>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5677AEDF" w14:textId="2040BC4D" w:rsidR="003C6DE5" w:rsidRPr="00230F7C" w:rsidRDefault="003E40E8">
          <w:pPr>
            <w:pStyle w:val="TOCNaslov"/>
            <w:rPr>
              <w:rFonts w:ascii="Times New Roman" w:hAnsi="Times New Roman" w:cs="Times New Roman"/>
              <w:sz w:val="24"/>
            </w:rPr>
          </w:pPr>
          <w:r w:rsidRPr="003E40E8">
            <w:rPr>
              <w:rFonts w:ascii="Times New Roman" w:eastAsia="Calibri" w:hAnsi="Times New Roman" w:cs="Times New Roman"/>
              <w:b/>
              <w:color w:val="auto"/>
              <w:sz w:val="24"/>
              <w:szCs w:val="24"/>
            </w:rPr>
            <w:t>SADRŽAJ</w:t>
          </w:r>
        </w:p>
        <w:p w14:paraId="173FF4FC" w14:textId="7385EAF6" w:rsidR="002C65C5" w:rsidRPr="003E40E8" w:rsidRDefault="003C6DE5">
          <w:pPr>
            <w:pStyle w:val="Sadraj1"/>
            <w:tabs>
              <w:tab w:val="right" w:leader="dot" w:pos="9062"/>
            </w:tabs>
            <w:rPr>
              <w:rFonts w:ascii="Times New Roman" w:eastAsiaTheme="minorEastAsia" w:hAnsi="Times New Roman"/>
              <w:noProof/>
              <w:sz w:val="24"/>
              <w:lang w:eastAsia="hr-HR"/>
            </w:rPr>
          </w:pPr>
          <w:r w:rsidRPr="003E40E8">
            <w:rPr>
              <w:rFonts w:ascii="Times New Roman" w:hAnsi="Times New Roman" w:cs="Times New Roman"/>
              <w:sz w:val="24"/>
              <w:szCs w:val="24"/>
            </w:rPr>
            <w:fldChar w:fldCharType="begin"/>
          </w:r>
          <w:r w:rsidRPr="003E40E8">
            <w:rPr>
              <w:rFonts w:ascii="Times New Roman" w:hAnsi="Times New Roman" w:cs="Times New Roman"/>
              <w:sz w:val="24"/>
              <w:szCs w:val="24"/>
            </w:rPr>
            <w:instrText xml:space="preserve"> TOC \o "1-3" \h \z \u </w:instrText>
          </w:r>
          <w:r w:rsidRPr="003E40E8">
            <w:rPr>
              <w:rFonts w:ascii="Times New Roman" w:hAnsi="Times New Roman" w:cs="Times New Roman"/>
              <w:sz w:val="24"/>
              <w:szCs w:val="24"/>
            </w:rPr>
            <w:fldChar w:fldCharType="separate"/>
          </w:r>
          <w:hyperlink w:anchor="_Toc61948920" w:history="1">
            <w:r w:rsidR="002C65C5" w:rsidRPr="003E40E8">
              <w:rPr>
                <w:rStyle w:val="Hiperveza"/>
                <w:rFonts w:ascii="Times New Roman" w:hAnsi="Times New Roman"/>
                <w:noProof/>
                <w:sz w:val="24"/>
              </w:rPr>
              <w:t>UVODNE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4</w:t>
            </w:r>
            <w:r w:rsidR="002C65C5" w:rsidRPr="003E40E8">
              <w:rPr>
                <w:rFonts w:ascii="Times New Roman" w:hAnsi="Times New Roman"/>
                <w:noProof/>
                <w:webHidden/>
                <w:sz w:val="24"/>
              </w:rPr>
              <w:fldChar w:fldCharType="end"/>
            </w:r>
          </w:hyperlink>
        </w:p>
        <w:p w14:paraId="0BA617E1" w14:textId="73D2EE07"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21" w:history="1">
            <w:r w:rsidR="002C65C5" w:rsidRPr="003E40E8">
              <w:rPr>
                <w:rStyle w:val="Hiperveza"/>
                <w:rFonts w:ascii="Times New Roman" w:hAnsi="Times New Roman"/>
                <w:noProof/>
                <w:sz w:val="24"/>
              </w:rPr>
              <w:t>Pravna osnova i definicije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4</w:t>
            </w:r>
            <w:r w:rsidR="002C65C5" w:rsidRPr="003E40E8">
              <w:rPr>
                <w:rFonts w:ascii="Times New Roman" w:hAnsi="Times New Roman"/>
                <w:noProof/>
                <w:webHidden/>
                <w:sz w:val="24"/>
              </w:rPr>
              <w:fldChar w:fldCharType="end"/>
            </w:r>
          </w:hyperlink>
        </w:p>
        <w:p w14:paraId="7DEECC48" w14:textId="0B27AE61"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22" w:history="1">
            <w:r w:rsidR="002C65C5" w:rsidRPr="003E40E8">
              <w:rPr>
                <w:rStyle w:val="Hiperveza"/>
                <w:rFonts w:ascii="Times New Roman" w:hAnsi="Times New Roman"/>
                <w:noProof/>
                <w:sz w:val="24"/>
              </w:rPr>
              <w:t>Komunikacija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7</w:t>
            </w:r>
            <w:r w:rsidR="002C65C5" w:rsidRPr="003E40E8">
              <w:rPr>
                <w:rFonts w:ascii="Times New Roman" w:hAnsi="Times New Roman"/>
                <w:noProof/>
                <w:webHidden/>
                <w:sz w:val="24"/>
              </w:rPr>
              <w:fldChar w:fldCharType="end"/>
            </w:r>
          </w:hyperlink>
        </w:p>
        <w:p w14:paraId="4D1FD32D" w14:textId="32979F54"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23" w:history="1">
            <w:r w:rsidR="002C65C5" w:rsidRPr="003E40E8">
              <w:rPr>
                <w:rStyle w:val="Hiperveza"/>
                <w:rFonts w:ascii="Times New Roman" w:hAnsi="Times New Roman"/>
                <w:noProof/>
                <w:sz w:val="24"/>
              </w:rPr>
              <w:t>Načini dostave Korisniku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7</w:t>
            </w:r>
            <w:r w:rsidR="002C65C5" w:rsidRPr="003E40E8">
              <w:rPr>
                <w:rFonts w:ascii="Times New Roman" w:hAnsi="Times New Roman"/>
                <w:noProof/>
                <w:webHidden/>
                <w:sz w:val="24"/>
              </w:rPr>
              <w:fldChar w:fldCharType="end"/>
            </w:r>
          </w:hyperlink>
        </w:p>
        <w:p w14:paraId="58F54A46" w14:textId="5DAA698C"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24" w:history="1">
            <w:r w:rsidR="002C65C5" w:rsidRPr="003E40E8">
              <w:rPr>
                <w:rStyle w:val="Hiperveza"/>
                <w:rFonts w:ascii="Times New Roman" w:hAnsi="Times New Roman"/>
                <w:noProof/>
                <w:sz w:val="24"/>
              </w:rPr>
              <w:t>Načini dostave tijelima SUK-a za FSEU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8</w:t>
            </w:r>
            <w:r w:rsidR="002C65C5" w:rsidRPr="003E40E8">
              <w:rPr>
                <w:rFonts w:ascii="Times New Roman" w:hAnsi="Times New Roman"/>
                <w:noProof/>
                <w:webHidden/>
                <w:sz w:val="24"/>
              </w:rPr>
              <w:fldChar w:fldCharType="end"/>
            </w:r>
          </w:hyperlink>
        </w:p>
        <w:p w14:paraId="552F52F8" w14:textId="06CF853B"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25" w:history="1">
            <w:r w:rsidR="002C65C5" w:rsidRPr="003E40E8">
              <w:rPr>
                <w:rStyle w:val="Hiperveza"/>
                <w:rFonts w:ascii="Times New Roman" w:hAnsi="Times New Roman"/>
                <w:noProof/>
                <w:sz w:val="24"/>
              </w:rPr>
              <w:t>Pristup informacijama i zaštita osobnih podataka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_Toc61948925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9</w:t>
            </w:r>
            <w:r w:rsidR="002C65C5" w:rsidRPr="003E40E8">
              <w:rPr>
                <w:rFonts w:ascii="Times New Roman" w:hAnsi="Times New Roman"/>
                <w:noProof/>
                <w:webHidden/>
                <w:sz w:val="24"/>
              </w:rPr>
              <w:fldChar w:fldCharType="end"/>
            </w:r>
          </w:hyperlink>
        </w:p>
        <w:p w14:paraId="138ED162" w14:textId="5EA5D906" w:rsidR="002C65C5" w:rsidRPr="003E40E8" w:rsidRDefault="00FF2C77">
          <w:pPr>
            <w:pStyle w:val="Sadraj1"/>
            <w:tabs>
              <w:tab w:val="right" w:leader="dot" w:pos="9062"/>
            </w:tabs>
            <w:rPr>
              <w:rFonts w:ascii="Times New Roman" w:eastAsiaTheme="minorEastAsia" w:hAnsi="Times New Roman"/>
              <w:noProof/>
              <w:sz w:val="24"/>
              <w:lang w:eastAsia="hr-HR"/>
            </w:rPr>
          </w:pPr>
          <w:hyperlink w:anchor="_Toc61948926" w:history="1">
            <w:r w:rsidR="002C65C5" w:rsidRPr="003E40E8">
              <w:rPr>
                <w:rStyle w:val="Hiperveza"/>
                <w:rFonts w:ascii="Times New Roman" w:hAnsi="Times New Roman"/>
                <w:noProof/>
                <w:sz w:val="24"/>
              </w:rPr>
              <w:t>OBVEZE KORISNIKA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_Toc61948926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11</w:t>
            </w:r>
            <w:r w:rsidR="002C65C5" w:rsidRPr="003E40E8">
              <w:rPr>
                <w:rFonts w:ascii="Times New Roman" w:hAnsi="Times New Roman"/>
                <w:noProof/>
                <w:webHidden/>
                <w:sz w:val="24"/>
              </w:rPr>
              <w:fldChar w:fldCharType="end"/>
            </w:r>
          </w:hyperlink>
        </w:p>
        <w:p w14:paraId="6903558B" w14:textId="5661722A"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27" w:history="1">
            <w:r w:rsidR="002C65C5" w:rsidRPr="003E40E8">
              <w:rPr>
                <w:rStyle w:val="Hiperveza"/>
                <w:rFonts w:ascii="Times New Roman" w:hAnsi="Times New Roman"/>
                <w:noProof/>
                <w:sz w:val="24"/>
              </w:rPr>
              <w:t>Odgovornost Korisnika za provedbu operacije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11</w:t>
            </w:r>
            <w:r w:rsidR="002C65C5" w:rsidRPr="003E40E8">
              <w:rPr>
                <w:rFonts w:ascii="Times New Roman" w:hAnsi="Times New Roman"/>
                <w:noProof/>
                <w:webHidden/>
                <w:sz w:val="24"/>
              </w:rPr>
              <w:fldChar w:fldCharType="end"/>
            </w:r>
          </w:hyperlink>
        </w:p>
        <w:p w14:paraId="3FF5B77F" w14:textId="245F2D52"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28" w:history="1">
            <w:r w:rsidR="002C65C5" w:rsidRPr="003E40E8">
              <w:rPr>
                <w:rStyle w:val="Hiperveza"/>
                <w:rFonts w:ascii="Times New Roman" w:hAnsi="Times New Roman"/>
                <w:noProof/>
                <w:sz w:val="24"/>
              </w:rPr>
              <w:t>Nabava i plan nabave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12</w:t>
            </w:r>
            <w:r w:rsidR="002C65C5" w:rsidRPr="003E40E8">
              <w:rPr>
                <w:rFonts w:ascii="Times New Roman" w:hAnsi="Times New Roman"/>
                <w:noProof/>
                <w:webHidden/>
                <w:sz w:val="24"/>
              </w:rPr>
              <w:fldChar w:fldCharType="end"/>
            </w:r>
          </w:hyperlink>
        </w:p>
        <w:p w14:paraId="508D6298" w14:textId="598F52F9"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29" w:history="1">
            <w:r w:rsidR="002C65C5" w:rsidRPr="003E40E8">
              <w:rPr>
                <w:rStyle w:val="Hiperveza"/>
                <w:rFonts w:ascii="Times New Roman" w:hAnsi="Times New Roman"/>
                <w:noProof/>
                <w:sz w:val="24"/>
              </w:rPr>
              <w:t>Obveza obavještavanja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13</w:t>
            </w:r>
            <w:r w:rsidR="002C65C5" w:rsidRPr="003E40E8">
              <w:rPr>
                <w:rFonts w:ascii="Times New Roman" w:hAnsi="Times New Roman"/>
                <w:noProof/>
                <w:webHidden/>
                <w:sz w:val="24"/>
              </w:rPr>
              <w:fldChar w:fldCharType="end"/>
            </w:r>
          </w:hyperlink>
        </w:p>
        <w:p w14:paraId="5B0C4ACB" w14:textId="6776930C"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30" w:history="1">
            <w:r w:rsidR="002C65C5" w:rsidRPr="003E40E8">
              <w:rPr>
                <w:rStyle w:val="Hiperveza"/>
                <w:rFonts w:ascii="Times New Roman" w:hAnsi="Times New Roman"/>
                <w:noProof/>
                <w:sz w:val="24"/>
              </w:rPr>
              <w:t xml:space="preserve">Informiranje </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14</w:t>
            </w:r>
            <w:r w:rsidR="002C65C5" w:rsidRPr="003E40E8">
              <w:rPr>
                <w:rFonts w:ascii="Times New Roman" w:hAnsi="Times New Roman"/>
                <w:noProof/>
                <w:webHidden/>
                <w:sz w:val="24"/>
              </w:rPr>
              <w:fldChar w:fldCharType="end"/>
            </w:r>
          </w:hyperlink>
        </w:p>
        <w:p w14:paraId="019E24F7" w14:textId="7ED34DCC" w:rsidR="002C65C5" w:rsidRPr="003E40E8" w:rsidRDefault="00FF2C77">
          <w:pPr>
            <w:pStyle w:val="Sadraj1"/>
            <w:tabs>
              <w:tab w:val="right" w:leader="dot" w:pos="9062"/>
            </w:tabs>
            <w:rPr>
              <w:rFonts w:ascii="Times New Roman" w:eastAsiaTheme="minorEastAsia" w:hAnsi="Times New Roman"/>
              <w:noProof/>
              <w:sz w:val="24"/>
              <w:lang w:eastAsia="hr-HR"/>
            </w:rPr>
          </w:pPr>
          <w:hyperlink w:anchor="_Toc61948931" w:history="1">
            <w:r w:rsidR="002C65C5" w:rsidRPr="003E40E8">
              <w:rPr>
                <w:rStyle w:val="Hiperveza"/>
                <w:rFonts w:ascii="Times New Roman" w:hAnsi="Times New Roman"/>
                <w:noProof/>
                <w:sz w:val="24"/>
              </w:rPr>
              <w:t>RAZDOBLJE PROVEDBE OPERACIJE I ODGODA PROVEDBE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14</w:t>
            </w:r>
            <w:r w:rsidR="002C65C5" w:rsidRPr="003E40E8">
              <w:rPr>
                <w:rFonts w:ascii="Times New Roman" w:hAnsi="Times New Roman"/>
                <w:noProof/>
                <w:webHidden/>
                <w:sz w:val="24"/>
              </w:rPr>
              <w:fldChar w:fldCharType="end"/>
            </w:r>
          </w:hyperlink>
        </w:p>
        <w:p w14:paraId="2AFCDBB1" w14:textId="233057BD"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32" w:history="1">
            <w:r w:rsidR="002C65C5" w:rsidRPr="003E40E8">
              <w:rPr>
                <w:rStyle w:val="Hiperveza"/>
                <w:rFonts w:ascii="Times New Roman" w:hAnsi="Times New Roman"/>
                <w:noProof/>
                <w:sz w:val="24"/>
              </w:rPr>
              <w:t>Razdoblje provedbe operacije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14</w:t>
            </w:r>
            <w:r w:rsidR="002C65C5" w:rsidRPr="003E40E8">
              <w:rPr>
                <w:rFonts w:ascii="Times New Roman" w:hAnsi="Times New Roman"/>
                <w:noProof/>
                <w:webHidden/>
                <w:sz w:val="24"/>
              </w:rPr>
              <w:fldChar w:fldCharType="end"/>
            </w:r>
          </w:hyperlink>
        </w:p>
        <w:p w14:paraId="4184E57A" w14:textId="49B7F281"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33" w:history="1">
            <w:r w:rsidR="002C65C5" w:rsidRPr="003E40E8">
              <w:rPr>
                <w:rStyle w:val="Hiperveza"/>
                <w:rFonts w:ascii="Times New Roman" w:hAnsi="Times New Roman"/>
                <w:noProof/>
                <w:sz w:val="24"/>
              </w:rPr>
              <w:t>Odgoda provedbe operacije uslijed nastupa nepredvidivih okolnosti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15</w:t>
            </w:r>
            <w:r w:rsidR="002C65C5" w:rsidRPr="003E40E8">
              <w:rPr>
                <w:rFonts w:ascii="Times New Roman" w:hAnsi="Times New Roman"/>
                <w:noProof/>
                <w:webHidden/>
                <w:sz w:val="24"/>
              </w:rPr>
              <w:fldChar w:fldCharType="end"/>
            </w:r>
          </w:hyperlink>
        </w:p>
        <w:p w14:paraId="226445F0" w14:textId="0E6C4478" w:rsidR="002C65C5" w:rsidRPr="003E40E8" w:rsidRDefault="00FF2C77">
          <w:pPr>
            <w:pStyle w:val="Sadraj1"/>
            <w:tabs>
              <w:tab w:val="right" w:leader="dot" w:pos="9062"/>
            </w:tabs>
            <w:rPr>
              <w:rFonts w:ascii="Times New Roman" w:eastAsiaTheme="minorEastAsia" w:hAnsi="Times New Roman"/>
              <w:noProof/>
              <w:sz w:val="24"/>
              <w:lang w:eastAsia="hr-HR"/>
            </w:rPr>
          </w:pPr>
          <w:hyperlink w:anchor="_Toc61948934" w:history="1">
            <w:r w:rsidR="002C65C5" w:rsidRPr="003E40E8">
              <w:rPr>
                <w:rStyle w:val="Hiperveza"/>
                <w:rFonts w:ascii="Times New Roman" w:hAnsi="Times New Roman"/>
                <w:noProof/>
                <w:sz w:val="24"/>
              </w:rPr>
              <w:t>PLAĆANJA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15</w:t>
            </w:r>
            <w:r w:rsidR="002C65C5" w:rsidRPr="003E40E8">
              <w:rPr>
                <w:rFonts w:ascii="Times New Roman" w:hAnsi="Times New Roman"/>
                <w:noProof/>
                <w:webHidden/>
                <w:sz w:val="24"/>
              </w:rPr>
              <w:fldChar w:fldCharType="end"/>
            </w:r>
          </w:hyperlink>
        </w:p>
        <w:p w14:paraId="7BDBC46D" w14:textId="27690870"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35" w:history="1">
            <w:r w:rsidR="002C65C5" w:rsidRPr="003E40E8">
              <w:rPr>
                <w:rStyle w:val="Hiperveza"/>
                <w:rFonts w:ascii="Times New Roman" w:hAnsi="Times New Roman"/>
                <w:noProof/>
                <w:sz w:val="24"/>
              </w:rPr>
              <w:t>Prihvatljivi troškovi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_Toc61948935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15</w:t>
            </w:r>
            <w:r w:rsidR="002C65C5" w:rsidRPr="003E40E8">
              <w:rPr>
                <w:rFonts w:ascii="Times New Roman" w:hAnsi="Times New Roman"/>
                <w:noProof/>
                <w:webHidden/>
                <w:sz w:val="24"/>
              </w:rPr>
              <w:fldChar w:fldCharType="end"/>
            </w:r>
          </w:hyperlink>
        </w:p>
        <w:p w14:paraId="390B8B4D" w14:textId="1326E7C9"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36" w:history="1">
            <w:r w:rsidR="002C65C5" w:rsidRPr="003E40E8">
              <w:rPr>
                <w:rStyle w:val="Hiperveza"/>
                <w:rFonts w:ascii="Times New Roman" w:hAnsi="Times New Roman"/>
                <w:noProof/>
                <w:sz w:val="24"/>
              </w:rPr>
              <w:t>Izvješća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_Toc61948936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16</w:t>
            </w:r>
            <w:r w:rsidR="002C65C5" w:rsidRPr="003E40E8">
              <w:rPr>
                <w:rFonts w:ascii="Times New Roman" w:hAnsi="Times New Roman"/>
                <w:noProof/>
                <w:webHidden/>
                <w:sz w:val="24"/>
              </w:rPr>
              <w:fldChar w:fldCharType="end"/>
            </w:r>
          </w:hyperlink>
        </w:p>
        <w:p w14:paraId="0AEBCCA3" w14:textId="210E0447"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37" w:history="1">
            <w:r w:rsidR="002C65C5" w:rsidRPr="003E40E8">
              <w:rPr>
                <w:rStyle w:val="Hiperveza"/>
                <w:rFonts w:ascii="Times New Roman" w:hAnsi="Times New Roman"/>
                <w:noProof/>
                <w:sz w:val="24"/>
              </w:rPr>
              <w:t>Zahtjev za nadoknadu sredstava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16</w:t>
            </w:r>
            <w:r w:rsidR="002C65C5" w:rsidRPr="003E40E8">
              <w:rPr>
                <w:rFonts w:ascii="Times New Roman" w:hAnsi="Times New Roman"/>
                <w:noProof/>
                <w:webHidden/>
                <w:sz w:val="24"/>
              </w:rPr>
              <w:fldChar w:fldCharType="end"/>
            </w:r>
          </w:hyperlink>
        </w:p>
        <w:p w14:paraId="13163D85" w14:textId="6E2142D6"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38" w:history="1">
            <w:r w:rsidR="002C65C5" w:rsidRPr="003E40E8">
              <w:rPr>
                <w:rStyle w:val="Hiperveza"/>
                <w:rFonts w:ascii="Times New Roman" w:hAnsi="Times New Roman"/>
                <w:noProof/>
                <w:sz w:val="24"/>
              </w:rPr>
              <w:t>Predujam</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18</w:t>
            </w:r>
            <w:r w:rsidR="002C65C5" w:rsidRPr="003E40E8">
              <w:rPr>
                <w:rFonts w:ascii="Times New Roman" w:hAnsi="Times New Roman"/>
                <w:noProof/>
                <w:webHidden/>
                <w:sz w:val="24"/>
              </w:rPr>
              <w:fldChar w:fldCharType="end"/>
            </w:r>
          </w:hyperlink>
        </w:p>
        <w:p w14:paraId="5742C28D" w14:textId="41EBC9AF"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39" w:history="1">
            <w:r w:rsidR="002C65C5" w:rsidRPr="003E40E8">
              <w:rPr>
                <w:rStyle w:val="Hiperveza"/>
                <w:rFonts w:ascii="Times New Roman" w:hAnsi="Times New Roman"/>
                <w:noProof/>
                <w:sz w:val="24"/>
              </w:rPr>
              <w:t>Plaćanja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19</w:t>
            </w:r>
            <w:r w:rsidR="002C65C5" w:rsidRPr="003E40E8">
              <w:rPr>
                <w:rFonts w:ascii="Times New Roman" w:hAnsi="Times New Roman"/>
                <w:noProof/>
                <w:webHidden/>
                <w:sz w:val="24"/>
              </w:rPr>
              <w:fldChar w:fldCharType="end"/>
            </w:r>
          </w:hyperlink>
        </w:p>
        <w:p w14:paraId="372E6DA5" w14:textId="2F7B8A7E"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0" w:history="1">
            <w:r w:rsidR="002C65C5" w:rsidRPr="003E40E8">
              <w:rPr>
                <w:rStyle w:val="Hiperveza"/>
                <w:rFonts w:ascii="Times New Roman" w:hAnsi="Times New Roman"/>
                <w:noProof/>
                <w:sz w:val="24"/>
              </w:rPr>
              <w:t>Računovodstveno evidentiranje, tehničke i financijske provjere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21</w:t>
            </w:r>
            <w:r w:rsidR="002C65C5" w:rsidRPr="003E40E8">
              <w:rPr>
                <w:rFonts w:ascii="Times New Roman" w:hAnsi="Times New Roman"/>
                <w:noProof/>
                <w:webHidden/>
                <w:sz w:val="24"/>
              </w:rPr>
              <w:fldChar w:fldCharType="end"/>
            </w:r>
          </w:hyperlink>
        </w:p>
        <w:p w14:paraId="0B31254B" w14:textId="14CEC75B"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1" w:history="1">
            <w:r w:rsidR="002C65C5" w:rsidRPr="003E40E8">
              <w:rPr>
                <w:rStyle w:val="Hiperveza"/>
                <w:rFonts w:ascii="Times New Roman" w:hAnsi="Times New Roman"/>
                <w:noProof/>
                <w:sz w:val="24"/>
              </w:rPr>
              <w:t>Konačni iznos financiranja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22</w:t>
            </w:r>
            <w:r w:rsidR="002C65C5" w:rsidRPr="003E40E8">
              <w:rPr>
                <w:rFonts w:ascii="Times New Roman" w:hAnsi="Times New Roman"/>
                <w:noProof/>
                <w:webHidden/>
                <w:sz w:val="24"/>
              </w:rPr>
              <w:fldChar w:fldCharType="end"/>
            </w:r>
          </w:hyperlink>
        </w:p>
        <w:p w14:paraId="77705342" w14:textId="45EC7F67"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2" w:history="1">
            <w:r w:rsidR="002C65C5" w:rsidRPr="003E40E8">
              <w:rPr>
                <w:rStyle w:val="Hiperveza"/>
                <w:rFonts w:ascii="Times New Roman" w:hAnsi="Times New Roman"/>
                <w:noProof/>
                <w:sz w:val="24"/>
              </w:rPr>
              <w:t>Povrati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23</w:t>
            </w:r>
            <w:r w:rsidR="002C65C5" w:rsidRPr="003E40E8">
              <w:rPr>
                <w:rFonts w:ascii="Times New Roman" w:hAnsi="Times New Roman"/>
                <w:noProof/>
                <w:webHidden/>
                <w:sz w:val="24"/>
              </w:rPr>
              <w:fldChar w:fldCharType="end"/>
            </w:r>
          </w:hyperlink>
        </w:p>
        <w:p w14:paraId="2B3700D7" w14:textId="014EB7FC" w:rsidR="002C65C5" w:rsidRPr="003E40E8" w:rsidRDefault="00FF2C77">
          <w:pPr>
            <w:pStyle w:val="Sadraj1"/>
            <w:tabs>
              <w:tab w:val="right" w:leader="dot" w:pos="9062"/>
            </w:tabs>
            <w:rPr>
              <w:rFonts w:ascii="Times New Roman" w:eastAsiaTheme="minorEastAsia" w:hAnsi="Times New Roman"/>
              <w:noProof/>
              <w:sz w:val="24"/>
              <w:lang w:eastAsia="hr-HR"/>
            </w:rPr>
          </w:pPr>
          <w:hyperlink w:anchor="_Toc61948943" w:history="1">
            <w:r w:rsidR="002C65C5" w:rsidRPr="003E40E8">
              <w:rPr>
                <w:rStyle w:val="Hiperveza"/>
                <w:rFonts w:ascii="Times New Roman" w:hAnsi="Times New Roman"/>
                <w:noProof/>
                <w:sz w:val="24"/>
              </w:rPr>
              <w:t>IZMJENE UGOVORA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24</w:t>
            </w:r>
            <w:r w:rsidR="002C65C5" w:rsidRPr="003E40E8">
              <w:rPr>
                <w:rFonts w:ascii="Times New Roman" w:hAnsi="Times New Roman"/>
                <w:noProof/>
                <w:webHidden/>
                <w:sz w:val="24"/>
              </w:rPr>
              <w:fldChar w:fldCharType="end"/>
            </w:r>
          </w:hyperlink>
        </w:p>
        <w:p w14:paraId="7828074D" w14:textId="68A3A0D8"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4" w:history="1">
            <w:r w:rsidR="002C65C5" w:rsidRPr="003E40E8">
              <w:rPr>
                <w:rStyle w:val="Hiperveza"/>
                <w:rFonts w:ascii="Times New Roman" w:hAnsi="Times New Roman"/>
                <w:noProof/>
                <w:sz w:val="24"/>
              </w:rPr>
              <w:t>Zajedničke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24</w:t>
            </w:r>
            <w:r w:rsidR="002C65C5" w:rsidRPr="003E40E8">
              <w:rPr>
                <w:rFonts w:ascii="Times New Roman" w:hAnsi="Times New Roman"/>
                <w:noProof/>
                <w:webHidden/>
                <w:sz w:val="24"/>
              </w:rPr>
              <w:fldChar w:fldCharType="end"/>
            </w:r>
          </w:hyperlink>
        </w:p>
        <w:p w14:paraId="32AD14F4" w14:textId="16EC10C7"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5" w:history="1">
            <w:r w:rsidR="002C65C5" w:rsidRPr="003E40E8">
              <w:rPr>
                <w:rStyle w:val="Hiperveza"/>
                <w:rFonts w:ascii="Times New Roman" w:hAnsi="Times New Roman"/>
                <w:noProof/>
                <w:sz w:val="24"/>
              </w:rPr>
              <w:t>Izmjene Ugovora na temelju zahtjeva ugovorne strane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_Toc61948945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25</w:t>
            </w:r>
            <w:r w:rsidR="002C65C5" w:rsidRPr="003E40E8">
              <w:rPr>
                <w:rFonts w:ascii="Times New Roman" w:hAnsi="Times New Roman"/>
                <w:noProof/>
                <w:webHidden/>
                <w:sz w:val="24"/>
              </w:rPr>
              <w:fldChar w:fldCharType="end"/>
            </w:r>
          </w:hyperlink>
        </w:p>
        <w:p w14:paraId="35099169" w14:textId="2539E84F"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6" w:history="1">
            <w:r w:rsidR="002C65C5" w:rsidRPr="003E40E8">
              <w:rPr>
                <w:rStyle w:val="Hiperveza"/>
                <w:rFonts w:ascii="Times New Roman" w:hAnsi="Times New Roman"/>
                <w:noProof/>
                <w:sz w:val="24"/>
              </w:rPr>
              <w:t>Izmjene Ugovora na temelju odluke TOPFD-a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_Toc61948946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26</w:t>
            </w:r>
            <w:r w:rsidR="002C65C5" w:rsidRPr="003E40E8">
              <w:rPr>
                <w:rFonts w:ascii="Times New Roman" w:hAnsi="Times New Roman"/>
                <w:noProof/>
                <w:webHidden/>
                <w:sz w:val="24"/>
              </w:rPr>
              <w:fldChar w:fldCharType="end"/>
            </w:r>
          </w:hyperlink>
        </w:p>
        <w:p w14:paraId="4B1C2889" w14:textId="55E4E182"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7" w:history="1">
            <w:r w:rsidR="002C65C5" w:rsidRPr="003E40E8">
              <w:rPr>
                <w:rStyle w:val="Hiperveza"/>
                <w:rFonts w:ascii="Times New Roman" w:hAnsi="Times New Roman"/>
                <w:noProof/>
                <w:sz w:val="24"/>
              </w:rPr>
              <w:t>Izmjene manjeg značaja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26</w:t>
            </w:r>
            <w:r w:rsidR="002C65C5" w:rsidRPr="003E40E8">
              <w:rPr>
                <w:rFonts w:ascii="Times New Roman" w:hAnsi="Times New Roman"/>
                <w:noProof/>
                <w:webHidden/>
                <w:sz w:val="24"/>
              </w:rPr>
              <w:fldChar w:fldCharType="end"/>
            </w:r>
          </w:hyperlink>
        </w:p>
        <w:p w14:paraId="124BDCE0" w14:textId="2B4B3416"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8" w:history="1">
            <w:r w:rsidR="002C65C5" w:rsidRPr="003E40E8">
              <w:rPr>
                <w:rStyle w:val="Hiperveza"/>
                <w:rFonts w:ascii="Times New Roman" w:hAnsi="Times New Roman"/>
                <w:noProof/>
                <w:sz w:val="24"/>
              </w:rPr>
              <w:t>Raskid Ugovora - TOPFD</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26</w:t>
            </w:r>
            <w:r w:rsidR="002C65C5" w:rsidRPr="003E40E8">
              <w:rPr>
                <w:rFonts w:ascii="Times New Roman" w:hAnsi="Times New Roman"/>
                <w:noProof/>
                <w:webHidden/>
                <w:sz w:val="24"/>
              </w:rPr>
              <w:fldChar w:fldCharType="end"/>
            </w:r>
          </w:hyperlink>
        </w:p>
        <w:p w14:paraId="03652D55" w14:textId="60ABD6B4"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49" w:history="1">
            <w:r w:rsidR="002C65C5" w:rsidRPr="003E40E8">
              <w:rPr>
                <w:rStyle w:val="Hiperveza"/>
                <w:rFonts w:ascii="Times New Roman" w:hAnsi="Times New Roman"/>
                <w:noProof/>
                <w:sz w:val="24"/>
              </w:rPr>
              <w:t>Raskid Ugovora – izjava Korisnika i sporazumni raskid</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30</w:t>
            </w:r>
            <w:r w:rsidR="002C65C5" w:rsidRPr="003E40E8">
              <w:rPr>
                <w:rFonts w:ascii="Times New Roman" w:hAnsi="Times New Roman"/>
                <w:noProof/>
                <w:webHidden/>
                <w:sz w:val="24"/>
              </w:rPr>
              <w:fldChar w:fldCharType="end"/>
            </w:r>
          </w:hyperlink>
        </w:p>
        <w:p w14:paraId="5B88D2F2" w14:textId="54FC84AF" w:rsidR="002C65C5" w:rsidRPr="003E40E8" w:rsidRDefault="00FF2C77">
          <w:pPr>
            <w:pStyle w:val="Sadraj1"/>
            <w:tabs>
              <w:tab w:val="right" w:leader="dot" w:pos="9062"/>
            </w:tabs>
            <w:rPr>
              <w:rFonts w:ascii="Times New Roman" w:eastAsiaTheme="minorEastAsia" w:hAnsi="Times New Roman"/>
              <w:noProof/>
              <w:sz w:val="24"/>
              <w:lang w:eastAsia="hr-HR"/>
            </w:rPr>
          </w:pPr>
          <w:hyperlink w:anchor="_Toc61948950" w:history="1">
            <w:r w:rsidR="002C65C5" w:rsidRPr="003E40E8">
              <w:rPr>
                <w:rStyle w:val="Hiperveza"/>
                <w:rFonts w:ascii="Times New Roman" w:hAnsi="Times New Roman"/>
                <w:noProof/>
                <w:sz w:val="24"/>
              </w:rPr>
              <w:t>ZAVRŠNE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30</w:t>
            </w:r>
            <w:r w:rsidR="002C65C5" w:rsidRPr="003E40E8">
              <w:rPr>
                <w:rFonts w:ascii="Times New Roman" w:hAnsi="Times New Roman"/>
                <w:noProof/>
                <w:webHidden/>
                <w:sz w:val="24"/>
              </w:rPr>
              <w:fldChar w:fldCharType="end"/>
            </w:r>
          </w:hyperlink>
        </w:p>
        <w:p w14:paraId="2B11692E" w14:textId="302B02BB"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51" w:history="1">
            <w:r w:rsidR="002C65C5" w:rsidRPr="003E40E8">
              <w:rPr>
                <w:rStyle w:val="Hiperveza"/>
                <w:rFonts w:ascii="Times New Roman" w:hAnsi="Times New Roman"/>
                <w:noProof/>
                <w:sz w:val="24"/>
              </w:rPr>
              <w:t>Primjenjivo pravo i jezik Ugovora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31</w:t>
            </w:r>
            <w:r w:rsidR="002C65C5" w:rsidRPr="003E40E8">
              <w:rPr>
                <w:rFonts w:ascii="Times New Roman" w:hAnsi="Times New Roman"/>
                <w:noProof/>
                <w:webHidden/>
                <w:sz w:val="24"/>
              </w:rPr>
              <w:fldChar w:fldCharType="end"/>
            </w:r>
          </w:hyperlink>
        </w:p>
        <w:p w14:paraId="55FCC654" w14:textId="3C755EB4"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52" w:history="1">
            <w:r w:rsidR="002C65C5" w:rsidRPr="003E40E8">
              <w:rPr>
                <w:rStyle w:val="Hiperveza"/>
                <w:rFonts w:ascii="Times New Roman" w:hAnsi="Times New Roman"/>
                <w:noProof/>
                <w:sz w:val="24"/>
              </w:rPr>
              <w:t>Postupanje u dobroj vjeri i međusobna suradnja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31</w:t>
            </w:r>
            <w:r w:rsidR="002C65C5" w:rsidRPr="003E40E8">
              <w:rPr>
                <w:rFonts w:ascii="Times New Roman" w:hAnsi="Times New Roman"/>
                <w:noProof/>
                <w:webHidden/>
                <w:sz w:val="24"/>
              </w:rPr>
              <w:fldChar w:fldCharType="end"/>
            </w:r>
          </w:hyperlink>
        </w:p>
        <w:p w14:paraId="5D515C55" w14:textId="6B4F03B0" w:rsidR="002C65C5" w:rsidRPr="003E40E8" w:rsidRDefault="00FF2C77">
          <w:pPr>
            <w:pStyle w:val="Sadraj2"/>
            <w:tabs>
              <w:tab w:val="right" w:leader="dot" w:pos="9062"/>
            </w:tabs>
            <w:rPr>
              <w:rFonts w:ascii="Times New Roman" w:eastAsiaTheme="minorEastAsia" w:hAnsi="Times New Roman"/>
              <w:noProof/>
              <w:sz w:val="24"/>
              <w:lang w:eastAsia="hr-HR"/>
            </w:rPr>
          </w:pPr>
          <w:hyperlink w:anchor="_Toc61948953" w:history="1">
            <w:r w:rsidR="002C65C5" w:rsidRPr="003E40E8">
              <w:rPr>
                <w:rStyle w:val="Hiperveza"/>
                <w:rFonts w:ascii="Times New Roman" w:hAnsi="Times New Roman"/>
                <w:noProof/>
                <w:sz w:val="24"/>
              </w:rPr>
              <w:t>Odgovornost za štetu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31</w:t>
            </w:r>
            <w:r w:rsidR="002C65C5" w:rsidRPr="003E40E8">
              <w:rPr>
                <w:rFonts w:ascii="Times New Roman" w:hAnsi="Times New Roman"/>
                <w:noProof/>
                <w:webHidden/>
                <w:sz w:val="24"/>
              </w:rPr>
              <w:fldChar w:fldCharType="end"/>
            </w:r>
          </w:hyperlink>
        </w:p>
        <w:p w14:paraId="3C681F12" w14:textId="0134EE85" w:rsidR="00932F74" w:rsidRPr="00932F74" w:rsidRDefault="003C6DE5" w:rsidP="00932F74">
          <w:r w:rsidRPr="003E40E8">
            <w:rPr>
              <w:rFonts w:ascii="Times New Roman" w:hAnsi="Times New Roman" w:cs="Times New Roman"/>
              <w:b/>
              <w:bCs/>
              <w:sz w:val="24"/>
              <w:szCs w:val="24"/>
            </w:rPr>
            <w:lastRenderedPageBreak/>
            <w:fldChar w:fldCharType="end"/>
          </w:r>
        </w:p>
      </w:sdtContent>
    </w:sdt>
    <w:p w14:paraId="3BAB4E60" w14:textId="3B6A4BFB" w:rsidR="00912019" w:rsidRPr="00663B1F" w:rsidRDefault="00912019" w:rsidP="00663B1F">
      <w:pPr>
        <w:pStyle w:val="Naslov1"/>
      </w:pPr>
      <w:bookmarkStart w:id="0" w:name="_Toc61948920"/>
      <w:r w:rsidRPr="00663B1F">
        <w:t>UVODNE ODREDBE</w:t>
      </w:r>
      <w:bookmarkEnd w:id="0"/>
    </w:p>
    <w:p w14:paraId="35EA830E" w14:textId="77777777" w:rsidR="00912019" w:rsidRPr="00663B1F" w:rsidRDefault="00912019" w:rsidP="00663B1F">
      <w:pPr>
        <w:pStyle w:val="Naslov2"/>
      </w:pPr>
      <w:bookmarkStart w:id="1" w:name="_Toc61948921"/>
      <w:r w:rsidRPr="00663B1F">
        <w:t>Pravna osnova i definicije</w:t>
      </w:r>
      <w:bookmarkEnd w:id="1"/>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0FBC95CB" w:rsid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2E1FBDB8"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2"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EU Solidarity Fund (EUSF) – clarification on implementation and auditing process</w:t>
      </w:r>
      <w:bookmarkEnd w:id="2"/>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36008E93"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a mogu biti sredstva državnog proračuna i druga nacionalna sredstva.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neobveznike Zakona o javnoj nabavi (NOJN), koja su, ako je primjenjivo, sastavni dio Ugovora.</w:t>
      </w:r>
    </w:p>
    <w:p w14:paraId="55C3F670" w14:textId="13858610" w:rsidR="0098456B"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 tijelo iz </w:t>
      </w:r>
      <w:r w:rsidRPr="003364F7">
        <w:rPr>
          <w:rFonts w:ascii="Times New Roman" w:eastAsia="Calibri" w:hAnsi="Times New Roman" w:cs="Times New Roman"/>
          <w:sz w:val="24"/>
          <w:szCs w:val="24"/>
          <w:lang w:eastAsia="hr-HR"/>
        </w:rPr>
        <w:t>Odluk</w:t>
      </w:r>
      <w:r>
        <w:rPr>
          <w:rFonts w:ascii="Times New Roman" w:eastAsia="Calibri" w:hAnsi="Times New Roman" w:cs="Times New Roman"/>
          <w:sz w:val="24"/>
          <w:szCs w:val="24"/>
          <w:lang w:eastAsia="hr-HR"/>
        </w:rPr>
        <w:t>e</w:t>
      </w:r>
      <w:r w:rsidRPr="003364F7">
        <w:rPr>
          <w:rFonts w:ascii="Times New Roman" w:eastAsia="Calibri" w:hAnsi="Times New Roman" w:cs="Times New Roman"/>
          <w:sz w:val="24"/>
          <w:szCs w:val="24"/>
          <w:lang w:eastAsia="hr-HR"/>
        </w:rPr>
        <w:t xml:space="preserv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Odluka VRH).</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8</w:t>
      </w:r>
      <w:r w:rsidR="00912019" w:rsidRPr="00912019">
        <w:rPr>
          <w:rFonts w:ascii="Times New Roman" w:eastAsia="Calibri" w:hAnsi="Times New Roman" w:cs="Times New Roman"/>
          <w:sz w:val="24"/>
          <w:szCs w:val="24"/>
          <w:lang w:eastAsia="hr-HR"/>
        </w:rPr>
        <w:t>. „Nepredvidiva okolnost“ –  objektivna okolnost koja se nije mogla predvidjeti i otkloniti, a  nastala je prije isteka roka za ispunjenje obveze, pri čemu je za jednu Ugovornu stranu ispunjenje obveze postalo pretjerano otežano, odnosno okolnost koja ima učinak na ispunjenje 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3B25E3BE"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26C32342" w14:textId="52CA5E9D"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Pr="00912019">
        <w:rPr>
          <w:rFonts w:ascii="Times New Roman" w:eastAsia="Calibri" w:hAnsi="Times New Roman" w:cs="Times New Roman"/>
          <w:sz w:val="24"/>
          <w:szCs w:val="24"/>
          <w:lang w:eastAsia="hr-HR"/>
        </w:rPr>
        <w:t>, obavijesti.</w:t>
      </w:r>
    </w:p>
    <w:p w14:paraId="6D232345" w14:textId="5712F414"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„Prijavitelj“ -  osoba koja podnosi projektni prijedlog.</w:t>
      </w:r>
    </w:p>
    <w:p w14:paraId="780D0D5E" w14:textId="570C9B29"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w:t>
      </w:r>
      <w:r w:rsidRPr="00912019">
        <w:rPr>
          <w:rFonts w:ascii="Times New Roman" w:eastAsia="Calibri" w:hAnsi="Times New Roman" w:cs="Times New Roman"/>
          <w:i/>
          <w:sz w:val="24"/>
          <w:szCs w:val="24"/>
          <w:lang w:eastAsia="hr-HR"/>
        </w:rPr>
        <w:t>Fraud</w:t>
      </w:r>
      <w:r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izdataka (zaštite financijskih interesa EU) predstavlja i svako namjerno postupanje ili propuštanje postupanja koje je povezano s </w:t>
      </w:r>
      <w:r w:rsidRPr="00912019">
        <w:rPr>
          <w:rFonts w:ascii="Times New Roman" w:eastAsia="Calibri" w:hAnsi="Times New Roman" w:cs="Times New Roman"/>
          <w:sz w:val="24"/>
          <w:szCs w:val="24"/>
          <w:lang w:eastAsia="hr-HR"/>
        </w:rPr>
        <w:lastRenderedPageBreak/>
        <w:t>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navedena sredstva i dodijeljena).</w:t>
      </w:r>
    </w:p>
    <w:p w14:paraId="0ECE9B50" w14:textId="1B047B24"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98456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640E3C3E"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98456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4D523478"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15</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140E5F22"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65147D44" w14:textId="1FF4AC9C" w:rsidR="00912019" w:rsidRDefault="0098456B"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5286877F" w:rsid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18. „Sustav upravljanja i kontrole za FSEU“ (SUK za FSEU) - </w:t>
      </w:r>
      <w:r w:rsidRPr="00912019">
        <w:rPr>
          <w:rFonts w:ascii="Times New Roman" w:eastAsia="Calibri" w:hAnsi="Times New Roman" w:cs="Times New Roman"/>
          <w:sz w:val="24"/>
          <w:szCs w:val="24"/>
          <w:lang w:eastAsia="hr-HR"/>
        </w:rPr>
        <w:t>tijel</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iz </w:t>
      </w:r>
      <w:r>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579D0E99" w:rsidR="00912019" w:rsidRPr="00912019" w:rsidRDefault="0098456B"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8A3209">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6F9C424E" w:rsidR="0091201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5D90464B" w:rsidR="00200124" w:rsidRPr="00200124" w:rsidRDefault="00DE1312"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w:t>
      </w:r>
      <w:r w:rsidR="008A3209">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5E593B1D" w:rsidR="001523F8" w:rsidRDefault="00E20ABE"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 „Ugovorne strane“ – Korisnik i TOPFD</w:t>
      </w:r>
    </w:p>
    <w:p w14:paraId="203DB1C9" w14:textId="77777777" w:rsidR="00CE1655" w:rsidRDefault="00CE1655"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3807CC78" w14:textId="3F93728C" w:rsidR="00912019" w:rsidRPr="00912019" w:rsidRDefault="00912019" w:rsidP="00663B1F">
      <w:pPr>
        <w:pStyle w:val="Naslov2"/>
      </w:pPr>
      <w:r w:rsidRPr="00912019">
        <w:t xml:space="preserve">  </w:t>
      </w:r>
      <w:bookmarkStart w:id="3" w:name="_Toc61948922"/>
      <w:r w:rsidRPr="00912019">
        <w:t>Komunikacija</w:t>
      </w:r>
      <w:bookmarkEnd w:id="3"/>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9DA3539"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 putem pošte (ili ovlaštenog pružatelja poštanskih usluga), u elektroničkom obliku, ili osobnim dostavljanjem pismena, odnosno na način određen u pozivu na dodjelu bespovratnih 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4338B74E"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poštom, dostavljaju u obliku elektroničke isprave izrađene sukladno zakonu ili usmeno izjavljuju na zapisnik. </w:t>
      </w:r>
    </w:p>
    <w:p w14:paraId="1C1FC5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Naslov2"/>
      </w:pPr>
      <w:bookmarkStart w:id="4" w:name="_Toc61948923"/>
      <w:r w:rsidRPr="00912019">
        <w:t>Načini dostave Korisniku</w:t>
      </w:r>
      <w:bookmarkEnd w:id="4"/>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3.</w:t>
      </w:r>
    </w:p>
    <w:p w14:paraId="253356A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F67E52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Naslov2"/>
      </w:pPr>
      <w:bookmarkStart w:id="5" w:name="_Toc61948924"/>
      <w:r w:rsidRPr="00912019">
        <w:t xml:space="preserve">Načini dostave </w:t>
      </w:r>
      <w:r w:rsidR="005C2F1D">
        <w:t>tijelima SUK-a za FSEU</w:t>
      </w:r>
      <w:bookmarkEnd w:id="5"/>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5E2BAB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ili putem pošte nepreporučeno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2322AB4A" w14:textId="04985B61" w:rsidR="005C2F1D" w:rsidRDefault="005C2F1D" w:rsidP="00912019">
      <w:pPr>
        <w:spacing w:after="0" w:line="240" w:lineRule="auto"/>
        <w:ind w:right="76"/>
        <w:jc w:val="both"/>
        <w:rPr>
          <w:rFonts w:ascii="Times New Roman" w:eastAsia="Calibri" w:hAnsi="Times New Roman" w:cs="Times New Roman"/>
          <w:sz w:val="24"/>
          <w:szCs w:val="24"/>
          <w:lang w:eastAsia="hr-HR"/>
        </w:rPr>
      </w:pPr>
    </w:p>
    <w:p w14:paraId="63F638AE" w14:textId="77E95DFF" w:rsidR="006A4AFD" w:rsidRDefault="006A4AFD" w:rsidP="00912019">
      <w:pPr>
        <w:spacing w:after="0" w:line="240" w:lineRule="auto"/>
        <w:ind w:right="76"/>
        <w:jc w:val="both"/>
        <w:rPr>
          <w:rFonts w:ascii="Times New Roman" w:eastAsia="Calibri" w:hAnsi="Times New Roman" w:cs="Times New Roman"/>
          <w:sz w:val="24"/>
          <w:szCs w:val="24"/>
          <w:lang w:eastAsia="hr-HR"/>
        </w:rPr>
      </w:pPr>
    </w:p>
    <w:p w14:paraId="4EC80A54" w14:textId="77777777" w:rsidR="006A4AFD" w:rsidRPr="00912019" w:rsidRDefault="006A4AFD" w:rsidP="00912019">
      <w:pPr>
        <w:spacing w:after="0" w:line="240" w:lineRule="auto"/>
        <w:ind w:right="76"/>
        <w:jc w:val="both"/>
        <w:rPr>
          <w:rFonts w:ascii="Times New Roman" w:eastAsia="Calibri" w:hAnsi="Times New Roman" w:cs="Times New Roman"/>
          <w:sz w:val="24"/>
          <w:szCs w:val="24"/>
          <w:lang w:eastAsia="hr-HR"/>
        </w:rPr>
      </w:pP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Naslov2"/>
      </w:pPr>
      <w:bookmarkStart w:id="6" w:name="_Toc61948925"/>
      <w:bookmarkStart w:id="7" w:name="_Hlk33173169"/>
      <w:r w:rsidRPr="00912019">
        <w:t>Pristup informacijama i zaštita osobnih podataka</w:t>
      </w:r>
      <w:bookmarkEnd w:id="6"/>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5CD41ED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8"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8"/>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770EE9B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9" w:name="_Hlk61891533"/>
      <w:r w:rsidR="0080665E">
        <w:rPr>
          <w:rFonts w:ascii="Times New Roman" w:eastAsia="Calibri" w:hAnsi="Times New Roman" w:cs="Times New Roman"/>
          <w:sz w:val="24"/>
          <w:lang w:eastAsia="hr-HR"/>
        </w:rPr>
        <w:t>TOPFD</w:t>
      </w:r>
      <w:bookmarkEnd w:id="9"/>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se obvezuju čuvati i ne otkrivati trećim osobama informacije o Korisniku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w:t>
      </w:r>
      <w:r w:rsidRPr="00912019">
        <w:rPr>
          <w:rFonts w:ascii="Times New Roman" w:eastAsia="Calibri" w:hAnsi="Times New Roman" w:cs="Times New Roman"/>
          <w:sz w:val="24"/>
          <w:szCs w:val="24"/>
          <w:lang w:eastAsia="hr-HR"/>
        </w:rPr>
        <w:lastRenderedPageBreak/>
        <w:t>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740E01AA"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čuva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1B50F488"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0" w:name="_Hlk33614369"/>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3EA8264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Ugovorne strane obvezne su štititi osobne podatke fizičkih osoba u skladu s pravilima o zaštiti osobnih podataka. Osobni podatci koji se odnose na Korisnika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xml:space="preserve">, provedbe revizije postupaka odabira, postupaka dodjele bespovratnih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0"/>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7719E150"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podatci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1"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1"/>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lastRenderedPageBreak/>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5B011E46"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podatci se čuvaju dok za navedeno postoji </w:t>
      </w:r>
      <w:bookmarkStart w:id="12" w:name="_Hlk33614789"/>
      <w:r w:rsidRPr="00912019">
        <w:rPr>
          <w:rFonts w:ascii="Times New Roman" w:eastAsia="Calibri" w:hAnsi="Times New Roman" w:cs="Times New Roman"/>
          <w:sz w:val="24"/>
          <w:szCs w:val="24"/>
        </w:rPr>
        <w:t xml:space="preserve">svrha, </w:t>
      </w:r>
      <w:bookmarkEnd w:id="12"/>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7"/>
    <w:p w14:paraId="038340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D5E38B5" w14:textId="77777777" w:rsidR="00912019" w:rsidRPr="00912019" w:rsidRDefault="00912019" w:rsidP="00663B1F">
      <w:pPr>
        <w:pStyle w:val="Naslov1"/>
      </w:pPr>
      <w:bookmarkStart w:id="13" w:name="_Toc61948926"/>
      <w:r w:rsidRPr="00912019">
        <w:t>OBVEZE KORISNIKA</w:t>
      </w:r>
      <w:bookmarkEnd w:id="13"/>
    </w:p>
    <w:p w14:paraId="02B26095" w14:textId="49372844" w:rsidR="00912019" w:rsidRPr="00912019" w:rsidRDefault="00912019" w:rsidP="00663B1F">
      <w:pPr>
        <w:pStyle w:val="Naslov2"/>
      </w:pPr>
      <w:bookmarkStart w:id="14" w:name="_Toc61948927"/>
      <w:r w:rsidRPr="00912019">
        <w:t xml:space="preserve">Odgovornost Korisnika za provedbu </w:t>
      </w:r>
      <w:r w:rsidR="007E56E4">
        <w:t>operacije</w:t>
      </w:r>
      <w:bookmarkEnd w:id="14"/>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23ACD3B" w14:textId="5DE38B7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7E56E4">
        <w:rPr>
          <w:rFonts w:ascii="Times New Roman" w:eastAsia="Calibri" w:hAnsi="Times New Roman" w:cs="Times New Roman"/>
          <w:sz w:val="24"/>
          <w:szCs w:val="24"/>
          <w:lang w:eastAsia="hr-HR"/>
        </w:rPr>
        <w:t>.</w:t>
      </w:r>
    </w:p>
    <w:p w14:paraId="54E03C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988914F" w14:textId="2869A74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koji su financirani bespovratnim sredstvima.</w:t>
      </w:r>
    </w:p>
    <w:p w14:paraId="36CD3C1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A8771A8" w14:textId="5CBD564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2A971EF"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6.5.</w:t>
      </w:r>
      <w:r w:rsidR="00912019" w:rsidRPr="00912019">
        <w:rPr>
          <w:rFonts w:ascii="Times New Roman" w:eastAsia="Calibri" w:hAnsi="Times New Roman" w:cs="Times New Roman"/>
          <w:sz w:val="24"/>
          <w:szCs w:val="24"/>
          <w:lang w:eastAsia="hr-HR"/>
        </w:rPr>
        <w:t xml:space="preserve"> </w:t>
      </w:r>
      <w:bookmarkStart w:id="15"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bookmarkStart w:id="16" w:name="_Hlk61892657"/>
      <w:r w:rsidR="00460CD0" w:rsidRPr="003002E3">
        <w:rPr>
          <w:rFonts w:ascii="Times New Roman" w:eastAsia="Calibri" w:hAnsi="Times New Roman" w:cs="Times New Roman"/>
          <w:sz w:val="24"/>
          <w:szCs w:val="24"/>
          <w:lang w:eastAsia="hr-HR"/>
        </w:rPr>
        <w:t>TOPFD</w:t>
      </w:r>
      <w:bookmarkEnd w:id="16"/>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w:t>
      </w:r>
      <w:r w:rsidR="00912019" w:rsidRPr="00912019">
        <w:rPr>
          <w:rFonts w:ascii="Times New Roman" w:eastAsia="Calibri" w:hAnsi="Times New Roman" w:cs="Times New Roman"/>
          <w:sz w:val="24"/>
          <w:szCs w:val="24"/>
          <w:lang w:eastAsia="hr-HR"/>
        </w:rPr>
        <w:lastRenderedPageBreak/>
        <w:t xml:space="preserve">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5"/>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1AA46D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 xml:space="preserve">6.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dao u postupku dodjele bespovratnih 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278338AC"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7E56E4">
        <w:rPr>
          <w:rFonts w:ascii="Times New Roman" w:eastAsia="Calibri" w:hAnsi="Times New Roman" w:cs="Times New Roman"/>
          <w:sz w:val="24"/>
          <w:szCs w:val="24"/>
          <w:lang w:eastAsia="hr-HR"/>
        </w:rPr>
        <w:t>.</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912019" w:rsidRDefault="00912019" w:rsidP="00663B1F">
      <w:pPr>
        <w:pStyle w:val="Naslov2"/>
      </w:pPr>
      <w:bookmarkStart w:id="17" w:name="_Toc61948928"/>
      <w:r w:rsidRPr="00912019">
        <w:t>Nabava i plan nabave</w:t>
      </w:r>
      <w:bookmarkEnd w:id="17"/>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7448AC6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 koji provodi nabavu obvezan je prilikom provedbe nabave poštivati primjenjiva pravila, u skladu s uvjetima Ugovora. Ako je Korisnik koji provodi nabavu naručitelj u smislu Zakona o javnoj nabavi, obvezan je postupati u skladu s navedenim Zakonom i primjenjivim podzakonskim propisima. Ako Korisnik koji provodi nabavu nije obveznik Zakona o javnoj nabavi dužan je provesti nabavu sukladno Pravilima za neobveznike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8E11D79" w14:textId="5DBFADA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7.2. Korisnik je obvezan dostaviti </w:t>
      </w:r>
      <w:r w:rsidR="00071D73" w:rsidRPr="003002E3">
        <w:rPr>
          <w:rFonts w:ascii="Times New Roman" w:eastAsia="Calibri" w:hAnsi="Times New Roman" w:cs="Times New Roman"/>
          <w:sz w:val="24"/>
          <w:szCs w:val="24"/>
          <w:lang w:eastAsia="hr-HR"/>
        </w:rPr>
        <w:t>TOPFD</w:t>
      </w:r>
      <w:r w:rsidR="00071D7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Plan nabave u roku od </w:t>
      </w:r>
      <w:r w:rsidR="007E56E4">
        <w:rPr>
          <w:rFonts w:ascii="Times New Roman" w:eastAsia="Calibri" w:hAnsi="Times New Roman" w:cs="Times New Roman"/>
          <w:sz w:val="24"/>
          <w:szCs w:val="24"/>
          <w:lang w:eastAsia="hr-HR"/>
        </w:rPr>
        <w:t>15</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petnaest</w:t>
      </w:r>
      <w:r w:rsidRPr="00912019">
        <w:rPr>
          <w:rFonts w:ascii="Times New Roman" w:eastAsia="Calibri" w:hAnsi="Times New Roman" w:cs="Times New Roman"/>
          <w:sz w:val="24"/>
          <w:szCs w:val="24"/>
          <w:lang w:eastAsia="hr-HR"/>
        </w:rPr>
        <w:t>)</w:t>
      </w:r>
      <w:r w:rsidR="00AF3C22">
        <w:rPr>
          <w:rFonts w:ascii="Times New Roman" w:eastAsia="Calibri" w:hAnsi="Times New Roman" w:cs="Times New Roman"/>
          <w:sz w:val="24"/>
          <w:szCs w:val="24"/>
          <w:lang w:eastAsia="hr-HR"/>
        </w:rPr>
        <w:t xml:space="preserve"> radnih</w:t>
      </w:r>
      <w:r w:rsidRPr="00912019">
        <w:rPr>
          <w:rFonts w:ascii="Times New Roman" w:eastAsia="Calibri" w:hAnsi="Times New Roman" w:cs="Times New Roman"/>
          <w:sz w:val="24"/>
          <w:szCs w:val="24"/>
          <w:lang w:eastAsia="hr-HR"/>
        </w:rPr>
        <w:t xml:space="preserve"> dana od dana stupanja Ugovora na snagu</w:t>
      </w:r>
      <w:r w:rsidR="007E56E4">
        <w:rPr>
          <w:rFonts w:ascii="Times New Roman" w:eastAsia="Calibri" w:hAnsi="Times New Roman" w:cs="Times New Roman"/>
          <w:sz w:val="24"/>
          <w:szCs w:val="24"/>
          <w:lang w:eastAsia="hr-HR"/>
        </w:rPr>
        <w:t>.</w:t>
      </w:r>
    </w:p>
    <w:p w14:paraId="5F3470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4FA70" w14:textId="1D76EEF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7.3. Plan nabave se može izmijeniti ili dopuniti ukoliko se za tim ukaže potreba. Izmijenjeni i/ili dopunjeni Plan se dostavlja </w:t>
      </w:r>
      <w:r w:rsidR="00045AD7" w:rsidRPr="003002E3">
        <w:rPr>
          <w:rFonts w:ascii="Times New Roman" w:eastAsia="Calibri" w:hAnsi="Times New Roman" w:cs="Times New Roman"/>
          <w:sz w:val="24"/>
          <w:szCs w:val="24"/>
          <w:lang w:eastAsia="hr-HR"/>
        </w:rPr>
        <w:t>TOPFD</w:t>
      </w:r>
      <w:r w:rsidR="00045AD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na znanje bez odgode. </w:t>
      </w:r>
    </w:p>
    <w:p w14:paraId="7A9892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333D51" w14:textId="76BA2BC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7.4. </w:t>
      </w:r>
      <w:r w:rsidR="00214F42"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uočenih nedostataka u Planu nabave, u obliku preporuke predložiti Korisniku izmjene ili dopune Plana nabave.</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5F2E7E6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7.5.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FF9F7D9"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7.6.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w:t>
      </w:r>
      <w:r w:rsidRPr="00912019">
        <w:rPr>
          <w:rFonts w:ascii="Times New Roman" w:eastAsia="Calibri" w:hAnsi="Times New Roman" w:cs="Times New Roman"/>
          <w:iCs/>
          <w:sz w:val="24"/>
          <w:szCs w:val="24"/>
          <w:lang w:eastAsia="hr-HR"/>
        </w:rPr>
        <w:lastRenderedPageBreak/>
        <w:t xml:space="preserve">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1EA1E23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7.7.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3A614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 xml:space="preserve">7.8.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C46519D" w14:textId="58E5AB1F"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lang w:eastAsia="hr-HR"/>
        </w:rPr>
        <w:t>7.9.</w:t>
      </w:r>
      <w:r w:rsidRPr="00912019">
        <w:rPr>
          <w:rFonts w:ascii="Times New Roman" w:eastAsia="Calibri" w:hAnsi="Times New Roman" w:cs="Times New Roman"/>
          <w:sz w:val="24"/>
          <w:szCs w:val="24"/>
        </w:rPr>
        <w:t xml:space="preserve"> </w:t>
      </w:r>
      <w:r w:rsidR="007D540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u roku od 15 (petnaest) radnih dana od dana zaprimanja Plana nabave (odnosno zaprimanja izmijenjenog i/ili dopunjenog Plana) dostavlja Korisniku popis nabava odabranih za prethodnu (ex-ante) provjeru dokumentacije. Ako su </w:t>
      </w:r>
      <w:r w:rsidR="00083C41" w:rsidRPr="003002E3">
        <w:rPr>
          <w:rFonts w:ascii="Times New Roman" w:eastAsia="Calibri" w:hAnsi="Times New Roman" w:cs="Times New Roman"/>
          <w:sz w:val="24"/>
          <w:szCs w:val="24"/>
          <w:lang w:eastAsia="hr-HR"/>
        </w:rPr>
        <w:t>TOPFD</w:t>
      </w:r>
      <w:r w:rsidR="00083C41">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rPr>
        <w:t xml:space="preserve"> potrebne dodatne informacije</w:t>
      </w:r>
      <w:r w:rsidR="00AF3C22">
        <w:rPr>
          <w:rFonts w:ascii="Times New Roman" w:eastAsia="Calibri" w:hAnsi="Times New Roman" w:cs="Times New Roman"/>
          <w:sz w:val="24"/>
          <w:szCs w:val="24"/>
        </w:rPr>
        <w:t xml:space="preserve"> </w:t>
      </w:r>
      <w:r w:rsidRPr="00912019">
        <w:rPr>
          <w:rFonts w:ascii="Times New Roman" w:eastAsia="Calibri" w:hAnsi="Times New Roman" w:cs="Times New Roman"/>
          <w:sz w:val="24"/>
          <w:szCs w:val="24"/>
        </w:rPr>
        <w:t>od Korisnika zahtijeva njihovo dostavljanje, u za to naznačenom roku, koji ne može biti kraći od pet niti duži od 10 (deset) radnih dana. Rok od 10 (deset) radnih dana u kojem nadležno tijelo dostavlja Korisniku popis nabava, nastavlja teći danom kada je Korisnik dostavio zahtijevane informacije.</w:t>
      </w:r>
    </w:p>
    <w:p w14:paraId="30B5F00B"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4EC6A126" w14:textId="4FCB8134"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7.10. Tijekom prethodne (ex-ante)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35210FC3"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0668754" w14:textId="7DE29C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 xml:space="preserve">7.11. </w:t>
      </w:r>
      <w:r w:rsidR="00F17E14" w:rsidRPr="00F17E14">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će upozoriti Korisnika na odstupanja u dokumentaciji uočena prilikom prethodne (ex-ante) provjere te mu dati </w:t>
      </w:r>
      <w:r w:rsidRPr="00912019">
        <w:rPr>
          <w:rFonts w:ascii="Times New Roman" w:eastAsia="Calibri" w:hAnsi="Times New Roman" w:cs="Times New Roman"/>
          <w:sz w:val="24"/>
          <w:szCs w:val="24"/>
          <w:lang w:eastAsia="hr-HR"/>
        </w:rPr>
        <w:t xml:space="preserve">preporuke za unaprjeđenje dokumentacije o nabavi radi izbjegavanja nepravilnosti, koje bi mogle utjecati na prihvatljivost </w:t>
      </w:r>
      <w:r w:rsidR="00AF3C22">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 određivanje financijskih korekcija u skladu s Ugovorom. </w:t>
      </w:r>
    </w:p>
    <w:p w14:paraId="086273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739F129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7.12. Postupanje u skladu sa stavcima 7.10. i 7.11. ovog članka ne predstavlja isključenje odgovornosti koju Korisnik 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6AD3F180"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7.13.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01A1F9A4"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DF2B2FD"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Naslov2"/>
      </w:pPr>
      <w:bookmarkStart w:id="18" w:name="_Toc61948929"/>
      <w:r w:rsidRPr="00912019">
        <w:t>Obveza obavještavanja</w:t>
      </w:r>
      <w:bookmarkEnd w:id="18"/>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B9A433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Korisnik mora omogućiti pristup svim podatcima,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AF3C22">
        <w:rPr>
          <w:rFonts w:ascii="Times New Roman" w:eastAsia="Calibri" w:hAnsi="Times New Roman" w:cs="Times New Roman"/>
          <w:sz w:val="24"/>
          <w:szCs w:val="24"/>
          <w:lang w:eastAsia="hr-HR"/>
        </w:rPr>
        <w:t>.</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F0368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Naslov2"/>
      </w:pPr>
      <w:bookmarkStart w:id="19" w:name="_Toc61948930"/>
      <w:r w:rsidRPr="00912019">
        <w:t>Informiranje</w:t>
      </w:r>
      <w:r w:rsidR="00392271">
        <w:t xml:space="preserve"> </w:t>
      </w:r>
      <w:bookmarkEnd w:id="19"/>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78F1EB" w14:textId="48207E3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Korisnik </w:t>
      </w:r>
      <w:r w:rsidR="00392271">
        <w:rPr>
          <w:rFonts w:ascii="Times New Roman" w:eastAsia="Calibri" w:hAnsi="Times New Roman" w:cs="Times New Roman"/>
          <w:sz w:val="24"/>
          <w:szCs w:val="24"/>
          <w:lang w:eastAsia="hr-HR"/>
        </w:rPr>
        <w:t>poduzima</w:t>
      </w:r>
      <w:r w:rsidRPr="00912019">
        <w:rPr>
          <w:rFonts w:ascii="Times New Roman" w:eastAsia="Calibri" w:hAnsi="Times New Roman" w:cs="Times New Roman"/>
          <w:sz w:val="24"/>
          <w:szCs w:val="24"/>
          <w:lang w:eastAsia="hr-HR"/>
        </w:rPr>
        <w:t xml:space="preserve"> mjere u svrhu osiguravanja informiranja činjenice da EU sufinancira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Mjer</w:t>
      </w:r>
      <w:r w:rsidR="00392271">
        <w:rPr>
          <w:rFonts w:ascii="Times New Roman" w:eastAsia="Calibri" w:hAnsi="Times New Roman" w:cs="Times New Roman"/>
          <w:sz w:val="24"/>
          <w:szCs w:val="24"/>
          <w:lang w:eastAsia="hr-HR"/>
        </w:rPr>
        <w:t xml:space="preserve">e informiranja odnose se na </w:t>
      </w:r>
      <w:r w:rsidR="008C1752">
        <w:rPr>
          <w:rFonts w:ascii="Times New Roman" w:eastAsia="Calibri" w:hAnsi="Times New Roman" w:cs="Times New Roman"/>
          <w:sz w:val="24"/>
          <w:szCs w:val="24"/>
          <w:lang w:eastAsia="hr-HR"/>
        </w:rPr>
        <w:t xml:space="preserve">osiguravanje ploče s natpisom na kojoj se ističe da se </w:t>
      </w:r>
      <w:r w:rsidR="0061102D">
        <w:rPr>
          <w:rFonts w:ascii="Times New Roman" w:eastAsia="Calibri" w:hAnsi="Times New Roman" w:cs="Times New Roman"/>
          <w:sz w:val="24"/>
          <w:szCs w:val="24"/>
          <w:lang w:eastAsia="hr-HR"/>
        </w:rPr>
        <w:t>operacija</w:t>
      </w:r>
      <w:r w:rsidR="008C1752">
        <w:rPr>
          <w:rFonts w:ascii="Times New Roman" w:eastAsia="Calibri" w:hAnsi="Times New Roman" w:cs="Times New Roman"/>
          <w:sz w:val="24"/>
          <w:szCs w:val="24"/>
          <w:lang w:eastAsia="hr-HR"/>
        </w:rPr>
        <w:t xml:space="preserve"> financira iz FSEU, amblem Europske unije, te tekst „Europska unija“, ili naljepnica s istim sadržajem (ako se radi o robi ili dokumentaciji koja se isporučuje u okviru operacije i iz nje financira).</w:t>
      </w: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C0C231" w14:textId="1186D8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Korisnik mora izvijestiti </w:t>
      </w:r>
      <w:r w:rsidR="00BF53C1"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provedbi mjera iz stavka 9.1. 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7C867BF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8C1752">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734919D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1021DF9"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p w14:paraId="194488F7" w14:textId="77777777" w:rsidR="00912019" w:rsidRPr="00912019" w:rsidRDefault="00912019" w:rsidP="00912019">
      <w:pPr>
        <w:spacing w:after="200" w:line="240" w:lineRule="auto"/>
        <w:jc w:val="center"/>
        <w:rPr>
          <w:rFonts w:ascii="Times New Roman" w:eastAsia="Calibri" w:hAnsi="Times New Roman" w:cs="Times New Roman"/>
          <w:b/>
          <w:sz w:val="24"/>
          <w:szCs w:val="24"/>
          <w:lang w:eastAsia="hr-HR"/>
        </w:rPr>
      </w:pPr>
    </w:p>
    <w:p w14:paraId="75472559" w14:textId="7CBAD858" w:rsidR="00912019" w:rsidRPr="00912019" w:rsidRDefault="00912019" w:rsidP="00663B1F">
      <w:pPr>
        <w:pStyle w:val="Naslov1"/>
      </w:pPr>
      <w:bookmarkStart w:id="20" w:name="_Toc61948931"/>
      <w:r w:rsidRPr="00912019">
        <w:t xml:space="preserve">RAZDOBLJE PROVEDBE </w:t>
      </w:r>
      <w:r w:rsidR="0061102D">
        <w:t xml:space="preserve">OPERACIJE </w:t>
      </w:r>
      <w:r w:rsidRPr="00912019">
        <w:t>I ODGODA PROVEDBE</w:t>
      </w:r>
      <w:bookmarkEnd w:id="20"/>
    </w:p>
    <w:p w14:paraId="4570BB52" w14:textId="094FBD53" w:rsidR="00912019" w:rsidRPr="00912019" w:rsidRDefault="00912019" w:rsidP="00663B1F">
      <w:pPr>
        <w:pStyle w:val="Naslov2"/>
      </w:pPr>
      <w:bookmarkStart w:id="21" w:name="_Toc61948932"/>
      <w:r w:rsidRPr="00912019">
        <w:t xml:space="preserve">Razdoblje provedbe </w:t>
      </w:r>
      <w:r w:rsidR="0061102D">
        <w:t>operacije</w:t>
      </w:r>
      <w:bookmarkEnd w:id="21"/>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2C94A8E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76C7C898" w14:textId="77777777" w:rsidR="00912019" w:rsidRPr="00912019" w:rsidRDefault="00912019" w:rsidP="00912019">
      <w:pPr>
        <w:spacing w:after="0" w:line="240" w:lineRule="auto"/>
        <w:jc w:val="both"/>
        <w:rPr>
          <w:rFonts w:ascii="Times New Roman" w:eastAsia="Calibri" w:hAnsi="Times New Roman" w:cs="Times New Roman"/>
          <w:i/>
          <w:sz w:val="24"/>
          <w:szCs w:val="24"/>
          <w:lang w:eastAsia="hr-HR"/>
        </w:rPr>
      </w:pP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Naslov2"/>
      </w:pPr>
      <w:bookmarkStart w:id="22" w:name="_Toc61948933"/>
      <w:bookmarkStart w:id="23" w:name="_Hlk52199112"/>
      <w:r w:rsidRPr="00912019">
        <w:t xml:space="preserve">Odgoda provedbe </w:t>
      </w:r>
      <w:r w:rsidR="0061102D">
        <w:t>operacije</w:t>
      </w:r>
      <w:r w:rsidRPr="00912019">
        <w:t xml:space="preserve"> uslijed nastupa nepredvidivih okolnosti</w:t>
      </w:r>
      <w:bookmarkEnd w:id="22"/>
    </w:p>
    <w:bookmarkEnd w:id="23"/>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36BA510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C47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60ED94"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4186FE70" w14:textId="77777777" w:rsidR="00912019" w:rsidRPr="00912019" w:rsidRDefault="00912019" w:rsidP="00663B1F">
      <w:pPr>
        <w:pStyle w:val="Naslov1"/>
      </w:pPr>
      <w:bookmarkStart w:id="24" w:name="_Toc61948934"/>
      <w:r w:rsidRPr="00912019">
        <w:t>PLAĆANJA</w:t>
      </w:r>
      <w:bookmarkEnd w:id="24"/>
    </w:p>
    <w:p w14:paraId="72DBE6F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937F76D" w14:textId="77777777" w:rsidR="00912019" w:rsidRPr="00912019" w:rsidRDefault="00912019" w:rsidP="00663B1F">
      <w:pPr>
        <w:pStyle w:val="Naslov2"/>
      </w:pPr>
      <w:bookmarkStart w:id="25" w:name="_Toc61948935"/>
      <w:r w:rsidRPr="00912019">
        <w:t>Prihvatljivi troškovi</w:t>
      </w:r>
      <w:bookmarkEnd w:id="25"/>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25D84CDA"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7608FF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3202FA9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5ADAC1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Naslov2"/>
      </w:pPr>
      <w:bookmarkStart w:id="26" w:name="_Toc61948936"/>
      <w:r w:rsidRPr="00912019">
        <w:t>Izvješća</w:t>
      </w:r>
      <w:bookmarkEnd w:id="26"/>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5234C24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te </w:t>
      </w:r>
      <w:r w:rsidRPr="00912019">
        <w:rPr>
          <w:rFonts w:ascii="Times New Roman" w:eastAsia="Calibri" w:hAnsi="Times New Roman" w:cs="Times New Roman"/>
          <w:sz w:val="24"/>
          <w:szCs w:val="24"/>
        </w:rPr>
        <w:t xml:space="preserve">izvješće nakon provedbe </w:t>
      </w:r>
      <w:r w:rsidR="00C27053">
        <w:rPr>
          <w:rFonts w:ascii="Times New Roman" w:eastAsia="Calibri" w:hAnsi="Times New Roman" w:cs="Times New Roman"/>
          <w:sz w:val="24"/>
          <w:szCs w:val="24"/>
        </w:rPr>
        <w:t>operacije</w:t>
      </w:r>
      <w:r w:rsidR="006D5B6F">
        <w:rPr>
          <w:rFonts w:ascii="Times New Roman" w:eastAsia="Calibri" w:hAnsi="Times New Roman" w:cs="Times New Roman"/>
          <w:sz w:val="24"/>
          <w:szCs w:val="24"/>
        </w:rPr>
        <w:t xml:space="preserve"> (ako je primjenjivo- prema pozivu na dodjelu bespovratnih financijskih sredstava)</w:t>
      </w:r>
      <w:r w:rsidRPr="00912019">
        <w:rPr>
          <w:rFonts w:ascii="Times New Roman" w:eastAsia="Calibri" w:hAnsi="Times New Roman" w:cs="Times New Roman"/>
          <w:sz w:val="24"/>
          <w:szCs w:val="24"/>
        </w:rPr>
        <w:t>.</w:t>
      </w:r>
      <w:r w:rsidRPr="00912019">
        <w:rPr>
          <w:rFonts w:ascii="Times New Roman" w:eastAsia="Calibri" w:hAnsi="Times New Roman" w:cs="Times New Roman"/>
          <w:sz w:val="24"/>
          <w:szCs w:val="24"/>
          <w:lang w:eastAsia="hr-HR"/>
        </w:rPr>
        <w:t xml:space="preserve"> Izvješće o napretku, završno izvješće i izvješće nakon provedbe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0C5497B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ne odgovaraju za štetu koja Korisniku 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244DE3D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65FB3C5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B6BF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FDC6FD1" w14:textId="77777777" w:rsidR="00BF73CC" w:rsidRPr="00912019" w:rsidRDefault="00BF73CC" w:rsidP="00912019">
      <w:pPr>
        <w:spacing w:after="0" w:line="240" w:lineRule="auto"/>
        <w:jc w:val="both"/>
        <w:rPr>
          <w:rFonts w:ascii="Times New Roman" w:eastAsia="Calibri" w:hAnsi="Times New Roman" w:cs="Times New Roman"/>
          <w:sz w:val="24"/>
          <w:szCs w:val="24"/>
          <w:lang w:eastAsia="hr-HR"/>
        </w:rPr>
      </w:pPr>
    </w:p>
    <w:p w14:paraId="797D1EC3" w14:textId="77777777" w:rsidR="00912019" w:rsidRPr="00912019" w:rsidRDefault="00912019" w:rsidP="00663B1F">
      <w:pPr>
        <w:pStyle w:val="Naslov2"/>
      </w:pPr>
      <w:bookmarkStart w:id="27" w:name="_Toc61948937"/>
      <w:r w:rsidRPr="00912019">
        <w:t>Zahtjev za nadoknadu sredstava</w:t>
      </w:r>
      <w:bookmarkEnd w:id="27"/>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D9F5D4" w14:textId="00350C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je obvezan dostaviti </w:t>
      </w:r>
      <w:r w:rsidR="008468F7" w:rsidRPr="008468F7">
        <w:rPr>
          <w:rFonts w:ascii="Times New Roman" w:eastAsia="Calibri" w:hAnsi="Times New Roman" w:cs="Times New Roman"/>
          <w:sz w:val="24"/>
          <w:szCs w:val="24"/>
          <w:lang w:eastAsia="hr-HR"/>
        </w:rPr>
        <w:t>TOPFD</w:t>
      </w:r>
      <w:r w:rsidR="008468F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početni plan zahtjeva za nadoknadu sredstava, u roku 20 (dvadeset) dana od dana stupanja Ugovora na snagu. Taj rok se može produljiti ako za navedeno postoji potreba, na temelju prethodnog dogovora s </w:t>
      </w:r>
      <w:r w:rsidR="00E679BA" w:rsidRPr="00E679BA">
        <w:rPr>
          <w:rFonts w:ascii="Times New Roman" w:eastAsia="Calibri" w:hAnsi="Times New Roman" w:cs="Times New Roman"/>
          <w:sz w:val="24"/>
          <w:szCs w:val="24"/>
          <w:lang w:eastAsia="hr-HR"/>
        </w:rPr>
        <w:t>TOPFD</w:t>
      </w:r>
      <w:r w:rsidR="006C1324">
        <w:rPr>
          <w:rFonts w:ascii="Times New Roman" w:eastAsia="Calibri" w:hAnsi="Times New Roman" w:cs="Times New Roman"/>
          <w:sz w:val="24"/>
          <w:szCs w:val="24"/>
          <w:lang w:eastAsia="hr-HR"/>
        </w:rPr>
        <w:t>.</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0E2A409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.2. Plaćanje prihvatljivih troškova iz bespovratnih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w:t>
      </w:r>
      <w:r w:rsidRPr="00912019">
        <w:rPr>
          <w:rFonts w:ascii="Times New Roman" w:eastAsia="Calibri" w:hAnsi="Times New Roman" w:cs="Times New Roman"/>
          <w:sz w:val="24"/>
          <w:szCs w:val="24"/>
          <w:lang w:eastAsia="hr-HR"/>
        </w:rPr>
        <w:lastRenderedPageBreak/>
        <w:t xml:space="preserve">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409FFF0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5</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plaćanja</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xml:space="preserve">. ovih Općih uvjeta, dokumentarni dokaz o plaćanju prihvatljivih troškova mora se podnijeti </w:t>
      </w:r>
      <w:r w:rsidR="00CD7159" w:rsidRPr="00CD7159">
        <w:rPr>
          <w:rFonts w:ascii="Times New Roman" w:eastAsia="Calibri" w:hAnsi="Times New Roman" w:cs="Times New Roman"/>
          <w:sz w:val="24"/>
          <w:szCs w:val="24"/>
          <w:lang w:eastAsia="hr-HR"/>
        </w:rPr>
        <w:t>TOPFD</w:t>
      </w:r>
      <w:r w:rsidR="00CD7159">
        <w:rPr>
          <w:rFonts w:ascii="Times New Roman" w:eastAsia="Calibri" w:hAnsi="Times New Roman" w:cs="Times New Roman"/>
          <w:sz w:val="24"/>
          <w:szCs w:val="24"/>
          <w:lang w:eastAsia="hr-HR"/>
        </w:rPr>
        <w:t>-u</w:t>
      </w:r>
      <w:r w:rsidRPr="00273BA0">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 i to najkasnije u roku 10 (deset) dana od dana uplate sredstava Korisniku</w:t>
      </w:r>
      <w:r w:rsidR="006C1324"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Ako Korisnik ne dostavi dokumentarni dokaz o plaćanju, uvjetno</w:t>
      </w:r>
      <w:r w:rsidRPr="00912019">
        <w:rPr>
          <w:rFonts w:ascii="Times New Roman" w:eastAsia="Calibri" w:hAnsi="Times New Roman" w:cs="Times New Roman"/>
          <w:sz w:val="24"/>
          <w:szCs w:val="24"/>
          <w:lang w:eastAsia="hr-HR"/>
        </w:rPr>
        <w:t xml:space="preserve">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506B75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Ako ovaj Ugovor dopušta retroaktivno potraživanje sredstava (kada razdoblje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počinje prije stupanja Ugovora na snagu), prvim zahtjevom za nadoknadu sredstava ili putem više istovremeno podnesenih zahtjeva za nadoknadu sredstava, ako je to potrebno, uvažavajući specifičnost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razdoblja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006E02E5">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neobveznici Zakona o javnoj nabavi, koja su objavljena </w:t>
      </w:r>
      <w:r w:rsidR="006C1324">
        <w:rPr>
          <w:rFonts w:ascii="Times New Roman" w:eastAsia="Calibri" w:hAnsi="Times New Roman" w:cs="Times New Roman"/>
          <w:sz w:val="24"/>
          <w:szCs w:val="24"/>
          <w:lang w:eastAsia="hr-HR"/>
        </w:rPr>
        <w:t>u pozivu na dodjelu bespovratnih financijskih sredstava</w:t>
      </w:r>
      <w:r w:rsidRPr="00912019">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03E16B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nedostatku zasebnog računa za </w:t>
      </w:r>
      <w:r w:rsidR="00C27053">
        <w:rPr>
          <w:rFonts w:ascii="Times New Roman" w:eastAsia="Calibri" w:hAnsi="Times New Roman" w:cs="Times New Roman"/>
          <w:sz w:val="24"/>
          <w:szCs w:val="24"/>
        </w:rPr>
        <w:t>operaciju</w:t>
      </w:r>
      <w:r w:rsidRPr="00912019">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 te se vraćaju.</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9F32B3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Naslov2"/>
      </w:pPr>
      <w:bookmarkStart w:id="28" w:name="_Toc61948938"/>
      <w:r w:rsidRPr="00912019">
        <w:t>Predujam</w:t>
      </w:r>
      <w:bookmarkEnd w:id="28"/>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2C9B997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.4. Ako je specifična dinamika potraživanja predujma utvrđena u pozivu na dodjelu bespovratnih 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54AAF8D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Iznos isplaćenog predujma i iznos ukupnih isplaćenih sredstava po zahtjevima za nadoknadu sredstava ne može biti viši od iznosa Ugovorom dodijeljenih bespovratnih 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F4F7B38"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lastRenderedPageBreak/>
        <w:t>1</w:t>
      </w:r>
      <w:r w:rsidR="004140A1">
        <w:rPr>
          <w:rFonts w:ascii="Times New Roman" w:eastAsia="Calibri" w:hAnsi="Times New Roman" w:cs="Times New Roman"/>
          <w:sz w:val="24"/>
          <w:szCs w:val="24"/>
        </w:rPr>
        <w:t>5</w:t>
      </w:r>
      <w:r w:rsidRPr="00912019">
        <w:rPr>
          <w:rFonts w:ascii="Times New Roman" w:eastAsia="Calibri" w:hAnsi="Times New Roman" w:cs="Times New Roman"/>
          <w:sz w:val="24"/>
          <w:szCs w:val="24"/>
        </w:rPr>
        <w:t>.</w:t>
      </w:r>
      <w:r w:rsidR="004140A1">
        <w:rPr>
          <w:rFonts w:ascii="Times New Roman" w:eastAsia="Calibri" w:hAnsi="Times New Roman" w:cs="Times New Roman"/>
          <w:sz w:val="24"/>
          <w:szCs w:val="24"/>
        </w:rPr>
        <w:t>9</w:t>
      </w:r>
      <w:r w:rsidRPr="00912019">
        <w:rPr>
          <w:rFonts w:ascii="Times New Roman" w:eastAsia="Calibri" w:hAnsi="Times New Roman" w:cs="Times New Roman"/>
          <w:sz w:val="24"/>
          <w:szCs w:val="24"/>
        </w:rPr>
        <w:t>. Ako je u skladu s odredbama ovoga članka određen povrat predujma, nalaže se povrat isplaćenog iznosa predujma.</w:t>
      </w:r>
    </w:p>
    <w:p w14:paraId="5F0E0ECC"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Naslov2"/>
      </w:pPr>
      <w:bookmarkStart w:id="29" w:name="_Toc61948939"/>
      <w:r w:rsidRPr="00912019">
        <w:t>Plaćanja</w:t>
      </w:r>
      <w:bookmarkEnd w:id="29"/>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3D34C2EF"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5776D1E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mogu biti plaćeni iz bespovratnih 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45F5660"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isplatio (u nastavku teksta: metoda nadoknade), ili </w:t>
      </w:r>
    </w:p>
    <w:p w14:paraId="79571810" w14:textId="588150FA"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prije nego što ih je Korisnik 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.1. točke b) ovoga članka. U tom slučaju, završno plaćanje se obavlja na temelju privremenog </w:t>
      </w:r>
      <w:r w:rsidRPr="00912019">
        <w:rPr>
          <w:rFonts w:ascii="Times New Roman" w:eastAsia="Calibri" w:hAnsi="Times New Roman" w:cs="Times New Roman"/>
          <w:sz w:val="24"/>
          <w:szCs w:val="24"/>
          <w:lang w:eastAsia="hr-HR"/>
        </w:rPr>
        <w:lastRenderedPageBreak/>
        <w:t>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4E4CF1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8D1F78D" w14:textId="32AA50B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B14C9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Provjeru izvješća nakon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r w:rsidR="00405428" w:rsidRPr="0040542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dovršava u roku 30 (trideset) radnih dana od dana njegova primitka. </w:t>
      </w:r>
      <w:bookmarkStart w:id="30" w:name="_Toc411953920"/>
      <w:bookmarkStart w:id="31" w:name="_Toc413239215"/>
      <w:bookmarkStart w:id="32" w:name="_Toc413244140"/>
      <w:r w:rsidRPr="00912019">
        <w:rPr>
          <w:rFonts w:ascii="Times New Roman" w:eastAsia="Calibri" w:hAnsi="Times New Roman" w:cs="Times New Roman"/>
          <w:sz w:val="24"/>
          <w:szCs w:val="24"/>
          <w:lang w:eastAsia="hr-HR"/>
        </w:rPr>
        <w:t xml:space="preserve">Ako su za dovršetak provjere </w:t>
      </w:r>
      <w:r w:rsidR="00405428" w:rsidRPr="0040542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duži od 10 (deset) radnih dana</w:t>
      </w:r>
      <w:bookmarkEnd w:id="30"/>
      <w:bookmarkEnd w:id="31"/>
      <w:bookmarkEnd w:id="32"/>
      <w:r w:rsidRPr="00912019">
        <w:rPr>
          <w:rFonts w:ascii="Times New Roman" w:eastAsia="Calibri" w:hAnsi="Times New Roman" w:cs="Times New Roman"/>
          <w:sz w:val="24"/>
          <w:szCs w:val="24"/>
          <w:lang w:eastAsia="hr-HR"/>
        </w:rPr>
        <w:t>. Rok za provjeru izvješća nastavlja teći nakon primitka zatraženih informacija, pri čemu se vrijeme proteklo do podnošenja zahtjeva za dostavom</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informacija uračunava u ukupno trajanje roka u kojem se izvješće provjerava. </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0070A25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Isplate Korisniku izvršavaju se u hrvatskim kunama.  </w:t>
      </w:r>
    </w:p>
    <w:p w14:paraId="25E1CAB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2A27F7" w14:textId="6679824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Rok za izvršenje plaćanja Korisniku je 30 (trideset)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6AE30B7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Ako je utvrđeno da je Korisnik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42E2B2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3</w:t>
      </w:r>
      <w:r w:rsidRPr="00C35F5E">
        <w:rPr>
          <w:rFonts w:ascii="Times New Roman" w:eastAsia="Calibri" w:hAnsi="Times New Roman" w:cs="Times New Roman"/>
          <w:sz w:val="24"/>
          <w:szCs w:val="24"/>
          <w:lang w:eastAsia="hr-HR"/>
        </w:rPr>
        <w:t>. Korisnik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57EC4E2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Naslov2"/>
      </w:pPr>
      <w:bookmarkStart w:id="33" w:name="_Toc61948940"/>
      <w:r w:rsidRPr="00912019">
        <w:t>Računovodstveno evidentiranje, tehničke i financijske provjere</w:t>
      </w:r>
      <w:bookmarkEnd w:id="33"/>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1F78DB4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4"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/mjesta troška/organizacijske jedinice/posebne analitike konta) te zabilježeni u računovodstvenim evidencijama Korisnika, a utvrđuju se u skladu s primjenjivim računovodstvenim standardima te u skladu s uobičajenom računovodstvenom praksom. </w:t>
      </w:r>
      <w:bookmarkEnd w:id="34"/>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2AAD568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w:t>
      </w:r>
      <w:r w:rsidRPr="00912019">
        <w:rPr>
          <w:rFonts w:ascii="Times New Roman" w:eastAsia="Calibri" w:hAnsi="Times New Roman" w:cs="Times New Roman"/>
          <w:sz w:val="24"/>
          <w:szCs w:val="24"/>
          <w:lang w:eastAsia="hr-HR"/>
        </w:rPr>
        <w:lastRenderedPageBreak/>
        <w:t xml:space="preserve">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67160D6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1ABB0FB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 surađuj</w:t>
      </w:r>
      <w:r w:rsidR="00441D2B">
        <w:rPr>
          <w:rFonts w:ascii="Times New Roman" w:eastAsia="Calibri" w:hAnsi="Times New Roman" w:cs="Times New Roman"/>
          <w:sz w:val="24"/>
          <w:szCs w:val="24"/>
          <w:lang w:eastAsia="hr-HR"/>
        </w:rPr>
        <w:t>e</w:t>
      </w:r>
      <w:r w:rsidRPr="00912019">
        <w:rPr>
          <w:rFonts w:ascii="Times New Roman" w:eastAsia="Calibri" w:hAnsi="Times New Roman" w:cs="Times New Roman"/>
          <w:sz w:val="24"/>
          <w:szCs w:val="24"/>
          <w:lang w:eastAsia="hr-HR"/>
        </w:rPr>
        <w:t xml:space="preserve"> 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isporučevinama,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5"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5"/>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39F5D8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277EA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3376C77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Naslov2"/>
      </w:pPr>
      <w:bookmarkStart w:id="36" w:name="_Toc61948941"/>
      <w:r w:rsidRPr="00912019">
        <w:t>Konačni iznos financiranja</w:t>
      </w:r>
      <w:bookmarkEnd w:id="36"/>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2E5F169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.1. Ukupan iznos isplata Korisniku ne smije prelaziti najviši iznos bespovratnih sredstava koji je određen u Ugovoru u apsolutnom iznosu. Iznos za plaćanje po pojedinom zahtjevu za nadoknadu sredstava/završnom zahtjevu za nadoknadu sredstava utvrđuje se primjenom točnog omjera između najvišeg iznosa bespovratnih 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41DE06A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DB33B6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sredstava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F894CC1"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.4. U slučaju kada je pozivom na dodjelu bespovratnih sredstava utvrđeno da se najviši iznos bespovratnih 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4B07DC2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Naslov2"/>
      </w:pPr>
      <w:bookmarkStart w:id="37" w:name="_Toc61948942"/>
      <w:r w:rsidRPr="00912019">
        <w:t>Povrati</w:t>
      </w:r>
      <w:bookmarkEnd w:id="37"/>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.7. Kada je Korisniku naložen povrat sredstava, po nekoj osnovi utvrđenoj Ugovorom, Korisnik je obvezan vratiti i kamate koje je ostvario na ta sredstva.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6E82459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B5088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14F17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Naslov1"/>
      </w:pPr>
      <w:bookmarkStart w:id="38" w:name="_Toc61948943"/>
      <w:r w:rsidRPr="00912019">
        <w:t>IZMJENE UGOVORA</w:t>
      </w:r>
      <w:bookmarkEnd w:id="38"/>
    </w:p>
    <w:p w14:paraId="6F1D1D31" w14:textId="77777777" w:rsidR="00912019" w:rsidRPr="00912019" w:rsidRDefault="00912019" w:rsidP="00DB04B0">
      <w:pPr>
        <w:pStyle w:val="Naslov2"/>
      </w:pPr>
      <w:bookmarkStart w:id="39" w:name="_Toc61948944"/>
      <w:r w:rsidRPr="00912019">
        <w:t>Zajedničke odredbe</w:t>
      </w:r>
      <w:bookmarkEnd w:id="39"/>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7AA6787" w14:textId="45BABD11"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Ugovor se ne može izmijeniti ukoliko bi izmjena dovela do povećanja iznosa bespovratnih sredstava određenog Ugovorom.  Kako bi se utvrdilo utječu li i u kojem opsegu predložene izmjene na rezultate postupka dodjele bespovratnih 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dijela ili cijelog projektnog prijedloga (ovisno o predloženoj izmjeni), isključivo na temelju pravila referentnog poziva na dodjelu bespovratnih sredstava,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5D96E23" w14:textId="6CD69545"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.2. Izmjene Ugovora kojima se uvode nove i/ili mijenjaju postojeće aktivnosti te s njima povezani prihvatljivi troškovi koje je moguće nadoknaditi u skladu s odredbama Ugovora, prihvatljive su samo u slučaju kada su kumulativno ispunjeni sljedeći uvjeti:</w:t>
      </w:r>
    </w:p>
    <w:p w14:paraId="5162F394"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C275DD0"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izmjene su nastale zbog nepredvidive okolnosti </w:t>
      </w:r>
    </w:p>
    <w:p w14:paraId="6D46E7BA"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izmjene su nužne za uredno izvršenje Ugovora i otklanjaju situaciju u kojoj je izvršenje ugovora postalo pretjerano otežano ili nemoguće</w:t>
      </w:r>
    </w:p>
    <w:p w14:paraId="5434AB60"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c) povezani troškovi ne dovode do povećanja ukupnog iznosa bespovratnih sredstava navedenog u Ugovoru.</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7BB251C0"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.3. Sve izmjene koje su nužne za izvršenje Ugovora, i kojima se uvode nove i/ili mijenjaju postojeće aktivnosti, a ne ispunjavaju kumulativno uvjete iz stavka 2</w:t>
      </w:r>
      <w:r w:rsidR="00B92B9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1.2.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0599483"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03298E3"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0200AFE" w14:textId="77777777" w:rsidR="00912019" w:rsidRPr="00912019" w:rsidRDefault="00912019" w:rsidP="00DB04B0">
      <w:pPr>
        <w:pStyle w:val="Naslov2"/>
      </w:pPr>
      <w:bookmarkStart w:id="40" w:name="_Toc61948945"/>
      <w:r w:rsidRPr="00912019">
        <w:t>Izmjene Ugovora na temelju zahtjeva ugovorne strane</w:t>
      </w:r>
      <w:bookmarkEnd w:id="40"/>
    </w:p>
    <w:p w14:paraId="0852738A" w14:textId="77777777"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5E2730A0" w14:textId="186FD8BC"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20814C82" w14:textId="77777777"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1B60DDA9" w14:textId="47CFD9A3"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Svaka Ugovorna strana može zahtijevati da se Ugovor izm</w:t>
      </w:r>
      <w:r w:rsidR="00C42260">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w:t>
      </w:r>
      <w:r w:rsidRPr="00912019">
        <w:rPr>
          <w:rFonts w:ascii="Times New Roman" w:eastAsia="Calibri" w:hAnsi="Times New Roman" w:cs="Times New Roman"/>
          <w:sz w:val="24"/>
          <w:szCs w:val="24"/>
          <w:lang w:eastAsia="hr-HR"/>
        </w:rPr>
        <w:lastRenderedPageBreak/>
        <w:t xml:space="preserve">nastanak neprihvatljivih troškova, obustavu isplate/plaćanja te raskid Ugovora prije odobravanja predložene izmjene ili u slučaju njezina neodobravanja. Korisnik podnosi </w:t>
      </w:r>
      <w:r w:rsidR="00B92B92">
        <w:rPr>
          <w:rFonts w:ascii="Times New Roman" w:eastAsia="Calibri" w:hAnsi="Times New Roman" w:cs="Times New Roman"/>
          <w:sz w:val="24"/>
          <w:szCs w:val="24"/>
          <w:lang w:eastAsia="hr-HR"/>
        </w:rPr>
        <w:t xml:space="preserve">i </w:t>
      </w:r>
      <w:r w:rsidR="00117DA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zahtjev za izmjenama Ugovora. </w:t>
      </w:r>
      <w:r w:rsidR="005C10BE" w:rsidRPr="005C10B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6E246C57" w14:textId="77777777"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171AC5A" w14:textId="12D659A7" w:rsidR="00B92B92"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.2. Izmjene Ugovora o kojima su se usuglasile sve ugovorne strane sastavljaju se u formi pisanog dodatka Ugovora koji potpisuju sve strane Ugovora.</w:t>
      </w:r>
    </w:p>
    <w:p w14:paraId="119E01D2" w14:textId="77777777" w:rsidR="00B92B92" w:rsidRDefault="00B92B92"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B534918" w14:textId="0984E652"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.3. Ugovor se može izmijeniti tijekom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a najkasnije do odobrenja završnog izvješća (ovisno o naravi izmjene, što se procjenjuje u svakom pojedinom slučaju)</w:t>
      </w:r>
      <w:r w:rsidR="00B92B9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Sve izmjene moraju biti opravdane i obrazložene, da bi bile dopustive.</w:t>
      </w:r>
    </w:p>
    <w:p w14:paraId="2527F982" w14:textId="77777777" w:rsidR="00912019" w:rsidRPr="00912019" w:rsidRDefault="00912019" w:rsidP="00912019">
      <w:pPr>
        <w:tabs>
          <w:tab w:val="left" w:pos="426"/>
        </w:tabs>
        <w:autoSpaceDE w:val="0"/>
        <w:autoSpaceDN w:val="0"/>
        <w:adjustRightInd w:val="0"/>
        <w:spacing w:after="0" w:line="240" w:lineRule="auto"/>
        <w:ind w:left="720"/>
        <w:jc w:val="both"/>
        <w:rPr>
          <w:rFonts w:ascii="Times New Roman" w:eastAsia="Calibri" w:hAnsi="Times New Roman" w:cs="Times New Roman"/>
          <w:sz w:val="24"/>
          <w:szCs w:val="24"/>
          <w:lang w:eastAsia="hr-HR"/>
        </w:rPr>
      </w:pPr>
    </w:p>
    <w:p w14:paraId="099BB743" w14:textId="3FBA4C6A"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.4. U slučaju izmjena Ugovora, koje </w:t>
      </w:r>
      <w:r w:rsidR="00B92B92">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sidR="00B92B92">
        <w:rPr>
          <w:rFonts w:ascii="Times New Roman" w:eastAsia="Calibri" w:hAnsi="Times New Roman" w:cs="Times New Roman"/>
          <w:sz w:val="24"/>
          <w:szCs w:val="24"/>
          <w:lang w:eastAsia="hr-HR"/>
        </w:rPr>
        <w:t xml:space="preserve">i </w:t>
      </w:r>
      <w:r w:rsidR="00C810C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sidR="00B92B92">
        <w:rPr>
          <w:rFonts w:ascii="Times New Roman" w:eastAsia="Calibri" w:hAnsi="Times New Roman" w:cs="Times New Roman"/>
          <w:sz w:val="24"/>
          <w:szCs w:val="24"/>
          <w:lang w:eastAsia="hr-HR"/>
        </w:rPr>
        <w:t xml:space="preserve">. </w:t>
      </w:r>
      <w:r w:rsidR="000E7E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w:t>
      </w:r>
      <w:r w:rsidR="002C2B70">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sidR="00B92B92">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sidR="00B92B92">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5D2404F"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845D309"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9BDF3F6" w14:textId="72C38E1B"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pozitivne odluke, </w:t>
      </w:r>
      <w:r w:rsidR="00B13F3B">
        <w:rPr>
          <w:rFonts w:ascii="Times New Roman" w:eastAsia="Calibri" w:hAnsi="Times New Roman" w:cs="Times New Roman"/>
          <w:sz w:val="24"/>
          <w:szCs w:val="24"/>
          <w:lang w:eastAsia="hr-HR"/>
        </w:rPr>
        <w:t>TOPF</w:t>
      </w:r>
      <w:r w:rsidR="0059213C">
        <w:rPr>
          <w:rFonts w:ascii="Times New Roman" w:eastAsia="Calibri" w:hAnsi="Times New Roman" w:cs="Times New Roman"/>
          <w:sz w:val="24"/>
          <w:szCs w:val="24"/>
          <w:lang w:eastAsia="hr-HR"/>
        </w:rPr>
        <w:t>D</w:t>
      </w:r>
      <w:r w:rsidR="00B13F3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dostavlja potpisani dodatak Ugovora</w:t>
      </w:r>
      <w:r w:rsidR="00B13F3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sidR="00B13F3B">
        <w:rPr>
          <w:rFonts w:ascii="Times New Roman" w:eastAsia="Calibri" w:hAnsi="Times New Roman" w:cs="Times New Roman"/>
          <w:sz w:val="24"/>
          <w:szCs w:val="24"/>
          <w:lang w:eastAsia="hr-HR"/>
        </w:rPr>
        <w:t>TOPF</w:t>
      </w:r>
      <w:r w:rsidR="006010AA">
        <w:rPr>
          <w:rFonts w:ascii="Times New Roman" w:eastAsia="Calibri" w:hAnsi="Times New Roman" w:cs="Times New Roman"/>
          <w:sz w:val="24"/>
          <w:szCs w:val="24"/>
          <w:lang w:eastAsia="hr-HR"/>
        </w:rPr>
        <w:t>D</w:t>
      </w:r>
      <w:r w:rsidRPr="00912019">
        <w:rPr>
          <w:rFonts w:ascii="Times New Roman" w:eastAsia="Calibri" w:hAnsi="Times New Roman" w:cs="Times New Roman"/>
          <w:sz w:val="24"/>
          <w:szCs w:val="24"/>
          <w:lang w:eastAsia="hr-HR"/>
        </w:rPr>
        <w:t xml:space="preserve"> najkasnije u roku 15 (petnaest) dana od dana primitka. </w:t>
      </w:r>
    </w:p>
    <w:p w14:paraId="5744E93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9B42D24" w14:textId="7C429AC8"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U slučaju negativne odluke, </w:t>
      </w:r>
      <w:r w:rsidR="00787F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sidR="00B13F3B">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sidR="00B13F3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6034741A"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756E1DC" w14:textId="1F79322E"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3B239BA6"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0170A44" w14:textId="137F4ED6"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B13F3B">
        <w:rPr>
          <w:rFonts w:ascii="Times New Roman" w:eastAsia="Calibri" w:hAnsi="Times New Roman" w:cs="Times New Roman"/>
          <w:sz w:val="24"/>
          <w:szCs w:val="24"/>
          <w:lang w:eastAsia="hr-HR"/>
        </w:rPr>
        <w:t xml:space="preserve">NKT i </w:t>
      </w:r>
      <w:r w:rsidR="00813540">
        <w:rPr>
          <w:rFonts w:ascii="Times New Roman" w:eastAsia="Calibri" w:hAnsi="Times New Roman" w:cs="Times New Roman"/>
          <w:sz w:val="24"/>
          <w:szCs w:val="24"/>
          <w:lang w:eastAsia="hr-HR"/>
        </w:rPr>
        <w:t>TOPFD</w:t>
      </w:r>
      <w:r w:rsidR="0081354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nisu odgovorni za štetu koja Korisniku nastane zbog ili povezano s nepotpisivanjem dodatka Ugovora.</w:t>
      </w:r>
    </w:p>
    <w:p w14:paraId="2CBD045E" w14:textId="77777777" w:rsidR="00912019" w:rsidRPr="00912019" w:rsidRDefault="00912019" w:rsidP="00B13F3B">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A5D4770" w14:textId="406EDD50"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snosi punu odgovornost za pravodobno podnošenje zahtjeva kako bi </w:t>
      </w:r>
      <w:r w:rsidR="00B13F3B">
        <w:rPr>
          <w:rFonts w:ascii="Times New Roman" w:eastAsia="Calibri" w:hAnsi="Times New Roman" w:cs="Times New Roman"/>
          <w:sz w:val="24"/>
          <w:szCs w:val="24"/>
          <w:lang w:eastAsia="hr-HR"/>
        </w:rPr>
        <w:t xml:space="preserve">i </w:t>
      </w:r>
      <w:r w:rsidR="001048DF">
        <w:rPr>
          <w:rFonts w:ascii="Times New Roman" w:eastAsia="Calibri" w:hAnsi="Times New Roman" w:cs="Times New Roman"/>
          <w:sz w:val="24"/>
          <w:szCs w:val="24"/>
          <w:lang w:eastAsia="hr-HR"/>
        </w:rPr>
        <w:t>TOPFD</w:t>
      </w:r>
      <w:r w:rsidR="001048DF"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obavi</w:t>
      </w:r>
      <w:r w:rsidR="003A07D3">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178A83DC"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37F13F2D" w14:textId="3FA12B11"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sidRPr="00912019">
        <w:rPr>
          <w:rFonts w:ascii="Times New Roman" w:eastAsia="Calibri" w:hAnsi="Times New Roman" w:cs="Times New Roman"/>
          <w:sz w:val="24"/>
          <w:szCs w:val="24"/>
          <w:lang w:eastAsia="hr-HR"/>
        </w:rPr>
        <w:t>1</w:t>
      </w:r>
      <w:r w:rsidR="009B14AD">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3D117A4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28D33A9"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E03BEDF" w14:textId="1FD9BC20" w:rsidR="00912019" w:rsidRPr="00912019" w:rsidRDefault="00912019" w:rsidP="00DB04B0">
      <w:pPr>
        <w:pStyle w:val="Naslov2"/>
      </w:pPr>
      <w:bookmarkStart w:id="41" w:name="_Toc61948946"/>
      <w:r w:rsidRPr="00912019">
        <w:t xml:space="preserve">Izmjene Ugovora na temelju odluke </w:t>
      </w:r>
      <w:r w:rsidR="00E369C3">
        <w:t>TOPFD</w:t>
      </w:r>
      <w:r w:rsidR="0010469D">
        <w:t>-a</w:t>
      </w:r>
      <w:bookmarkEnd w:id="41"/>
    </w:p>
    <w:p w14:paraId="50BE611B"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32A01875" w14:textId="0C3E1B32"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10469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42D71D9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8877563" w14:textId="7F12D1D7" w:rsidR="0010469D" w:rsidRPr="00912019" w:rsidRDefault="00912019" w:rsidP="0010469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10469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sidR="00E369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04A6FD45" w14:textId="77777777" w:rsidR="00912019" w:rsidRPr="00912019"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sredstava iz Ugovora se smanjuje zbog utvrđenih pogrešaka (primjerice u izračunu prihvatljivih troškova) </w:t>
      </w:r>
    </w:p>
    <w:p w14:paraId="118E6569" w14:textId="3A38A78F" w:rsidR="00912019" w:rsidRPr="00273BA0"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došlo je do izmjena nacionalnih i/ili EU pravila zbog kojih se Ugovor mora izmijeniti po sili samog pravila ili na temelju odluke </w:t>
      </w:r>
      <w:r w:rsidR="0010469D">
        <w:rPr>
          <w:rFonts w:ascii="Times New Roman" w:eastAsia="Calibri" w:hAnsi="Times New Roman" w:cs="Times New Roman"/>
          <w:sz w:val="24"/>
          <w:szCs w:val="24"/>
          <w:lang w:eastAsia="hr-HR"/>
        </w:rPr>
        <w:t>NKT</w:t>
      </w:r>
      <w:r w:rsidR="00040886">
        <w:rPr>
          <w:rFonts w:ascii="Times New Roman" w:eastAsia="Calibri" w:hAnsi="Times New Roman" w:cs="Times New Roman"/>
          <w:sz w:val="24"/>
          <w:szCs w:val="24"/>
          <w:lang w:eastAsia="hr-HR"/>
        </w:rPr>
        <w:t>/</w:t>
      </w:r>
      <w:r w:rsidR="00E369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1ED53574" w14:textId="384672B2" w:rsidR="00912019" w:rsidRPr="00273BA0"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sidR="00C27053">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sredstvima i ostvarenim ili planiranim troškovima</w:t>
      </w:r>
    </w:p>
    <w:p w14:paraId="7470617A" w14:textId="542D7CA3" w:rsidR="00912019" w:rsidRPr="00273BA0" w:rsidRDefault="00912019" w:rsidP="0010469D">
      <w:pPr>
        <w:numPr>
          <w:ilvl w:val="0"/>
          <w:numId w:val="6"/>
        </w:numPr>
        <w:spacing w:after="0" w:line="240" w:lineRule="auto"/>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w:t>
      </w:r>
      <w:r w:rsidR="0010469D"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ovih Općih uvjeta (npr. izmjena tehničke naravi koja ne utječe na opseg već utvrđenih prava i obveza i način njihova izvršavanja)</w:t>
      </w:r>
    </w:p>
    <w:p w14:paraId="16588A52" w14:textId="77777777" w:rsidR="00912019" w:rsidRPr="00273BA0"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DBF2F26" w14:textId="2DAAA79F"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2</w:t>
      </w:r>
      <w:r w:rsidR="0055789B" w:rsidRPr="00273BA0">
        <w:rPr>
          <w:rFonts w:ascii="Times New Roman" w:eastAsia="Calibri" w:hAnsi="Times New Roman" w:cs="Times New Roman"/>
          <w:sz w:val="24"/>
          <w:szCs w:val="24"/>
          <w:lang w:eastAsia="hr-HR"/>
        </w:rPr>
        <w:t>2</w:t>
      </w:r>
      <w:r w:rsidRPr="00273BA0">
        <w:rPr>
          <w:rFonts w:ascii="Times New Roman" w:eastAsia="Calibri" w:hAnsi="Times New Roman" w:cs="Times New Roman"/>
          <w:sz w:val="24"/>
          <w:szCs w:val="24"/>
          <w:lang w:eastAsia="hr-HR"/>
        </w:rPr>
        <w:t>.2. U slučajevima navedenim u stavku 2</w:t>
      </w:r>
      <w:r w:rsidR="0010469D" w:rsidRPr="00273BA0">
        <w:rPr>
          <w:rFonts w:ascii="Times New Roman" w:eastAsia="Calibri" w:hAnsi="Times New Roman" w:cs="Times New Roman"/>
          <w:sz w:val="24"/>
          <w:szCs w:val="24"/>
          <w:lang w:eastAsia="hr-HR"/>
        </w:rPr>
        <w:t>2</w:t>
      </w:r>
      <w:r w:rsidRPr="00273BA0">
        <w:rPr>
          <w:rFonts w:ascii="Times New Roman" w:eastAsia="Calibri" w:hAnsi="Times New Roman" w:cs="Times New Roman"/>
          <w:sz w:val="24"/>
          <w:szCs w:val="24"/>
          <w:lang w:eastAsia="hr-HR"/>
        </w:rPr>
        <w:t xml:space="preserve">.1. ovog članka, Ugovor se može izmijeniti tijekom cijelog razdoblja njegova izvršavanja. </w:t>
      </w:r>
      <w:r w:rsidR="00E369C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w:t>
      </w:r>
      <w:r w:rsidR="0010469D" w:rsidRPr="00273BA0">
        <w:rPr>
          <w:rFonts w:ascii="Times New Roman" w:eastAsia="Calibri" w:hAnsi="Times New Roman" w:cs="Times New Roman"/>
          <w:sz w:val="24"/>
          <w:szCs w:val="24"/>
          <w:lang w:eastAsia="hr-HR"/>
        </w:rPr>
        <w:t xml:space="preserve"> o izmjeni Ugovora</w:t>
      </w:r>
      <w:r w:rsidRPr="00273BA0">
        <w:rPr>
          <w:rFonts w:ascii="Times New Roman" w:eastAsia="Calibri" w:hAnsi="Times New Roman" w:cs="Times New Roman"/>
          <w:sz w:val="24"/>
          <w:szCs w:val="24"/>
          <w:lang w:eastAsia="hr-HR"/>
        </w:rPr>
        <w:t xml:space="preserve"> proizvodi učinak</w:t>
      </w:r>
      <w:r w:rsidRPr="00912019">
        <w:rPr>
          <w:rFonts w:ascii="Times New Roman" w:eastAsia="Calibri" w:hAnsi="Times New Roman" w:cs="Times New Roman"/>
          <w:sz w:val="24"/>
          <w:szCs w:val="24"/>
          <w:lang w:eastAsia="hr-HR"/>
        </w:rPr>
        <w:t xml:space="preserve"> od dana kada je dostavljena Korisniku.</w:t>
      </w:r>
    </w:p>
    <w:p w14:paraId="0A80A9F6" w14:textId="77777777" w:rsid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7777777" w:rsidR="00912019" w:rsidRPr="00912019" w:rsidRDefault="00912019" w:rsidP="002C65C5">
      <w:pPr>
        <w:pStyle w:val="Naslov2"/>
      </w:pPr>
      <w:bookmarkStart w:id="42" w:name="_Toc61948947"/>
      <w:r w:rsidRPr="00912019">
        <w:t>Izmjene manjeg značaja</w:t>
      </w:r>
      <w:bookmarkEnd w:id="42"/>
    </w:p>
    <w:p w14:paraId="2B9462E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86776C7" w14:textId="71F2AFE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U odnosu na izmjene manjeg značaja koje se odnose na promjenu naziva/imena ugovorne strane, adrese, bankovnog računa ili podataka koji se odnose na kontakte, nije potrebno sklapati pisani dodatak Ugovora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3AD383C9" w14:textId="06ED3996" w:rsidR="00912019" w:rsidRPr="00912019" w:rsidRDefault="00912019" w:rsidP="009373B6">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5F7391BB" w14:textId="77777777" w:rsidR="00912019" w:rsidRDefault="00912019" w:rsidP="009373B6">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rsidP="00DB04B0">
      <w:pPr>
        <w:pStyle w:val="Naslov2"/>
      </w:pPr>
      <w:r w:rsidRPr="00912019">
        <w:t xml:space="preserve"> </w:t>
      </w:r>
      <w:r w:rsidR="00D90CCC">
        <w:t xml:space="preserve"> </w:t>
      </w:r>
      <w:bookmarkStart w:id="43" w:name="_Toc61948948"/>
      <w:r w:rsidRPr="00912019">
        <w:t xml:space="preserve">Raskid Ugovora </w:t>
      </w:r>
      <w:r w:rsidR="00C47221">
        <w:t xml:space="preserve">- </w:t>
      </w:r>
      <w:r w:rsidR="00A85716">
        <w:t>TOPFD</w:t>
      </w:r>
      <w:bookmarkEnd w:id="43"/>
    </w:p>
    <w:p w14:paraId="7ECA43D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09AC01E" w14:textId="47077B85" w:rsidR="00912019" w:rsidRPr="00912019" w:rsidRDefault="00912019" w:rsidP="00912019">
      <w:pPr>
        <w:spacing w:after="0" w:line="240" w:lineRule="auto"/>
        <w:ind w:left="354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w:t>
      </w:r>
    </w:p>
    <w:p w14:paraId="3BC90D5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6E5C07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42DB99" w14:textId="3425E5AC"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w:t>
      </w:r>
      <w:r w:rsidRPr="00912019">
        <w:rPr>
          <w:rFonts w:ascii="Times New Roman" w:eastAsia="Calibri" w:hAnsi="Times New Roman" w:cs="Times New Roman"/>
          <w:sz w:val="24"/>
          <w:szCs w:val="24"/>
          <w:lang w:eastAsia="hr-HR"/>
        </w:rPr>
        <w:lastRenderedPageBreak/>
        <w:t>ili je očito da je, uvažavajući sve okolnosti slučaja, posljedica namjernog postupanja s ciljem stjecanja bespovratnih sredstava</w:t>
      </w:r>
    </w:p>
    <w:p w14:paraId="39EF5A05"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FE341B5"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3C5C8B6E"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455DCA29"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3A216082"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korupciju, na temelju članka 252. (primanje mita u gospodarskom poslovanju), članka 253. (davanje mita u gospodarskom poslovanju), članka 254. (zlouporaba u postupku javne </w:t>
      </w:r>
      <w:r w:rsidRPr="00912019">
        <w:rPr>
          <w:rFonts w:ascii="Times New Roman" w:eastAsia="Calibri" w:hAnsi="Times New Roman" w:cs="Times New Roman"/>
          <w:sz w:val="24"/>
          <w:szCs w:val="24"/>
          <w:lang w:eastAsia="hr-HR"/>
        </w:rPr>
        <w:lastRenderedPageBreak/>
        <w:t>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051D6614"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181BFA25" w14:textId="3D6651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raskinuti Ugovor, ako smatrada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C8944" w14:textId="0B475B0E"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412C60EE" w14:textId="10956E43"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kriv za teški profesionalni propust.</w:t>
      </w:r>
    </w:p>
    <w:p w14:paraId="5E8F4E92" w14:textId="77777777" w:rsidR="00912019" w:rsidRPr="00912019" w:rsidRDefault="00912019" w:rsidP="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5C26320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05A7E4D" w14:textId="3E564FF5"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B42916B" w14:textId="4F70815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 tražiti izdavanje potvrde o činjenicama o kojima to tijelo vodi službenu evidenciju </w:t>
      </w:r>
      <w:r w:rsidRPr="00912019">
        <w:rPr>
          <w:rFonts w:ascii="Times New Roman" w:eastAsia="Calibri" w:hAnsi="Times New Roman" w:cs="Times New Roman"/>
          <w:sz w:val="24"/>
          <w:szCs w:val="24"/>
          <w:lang w:eastAsia="hr-HR"/>
        </w:rPr>
        <w:lastRenderedPageBreak/>
        <w:t>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F654719" w14:textId="6EA4DE95"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 „Povezani subjekt“ označava posebno svaki subjekt koji ispunjava kriterije propisane u članku 22. Direktive Vijeća broj 2013/34/EU od 26. lipnja 2013. te primjenjivim nacionalnim propisima.</w:t>
      </w:r>
    </w:p>
    <w:p w14:paraId="7B655F6C"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B0AAE2A" w14:textId="1421482D"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Korisnik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postupanja, ili u slučaju kontinuiranog ili opetovanog postupanja, od datuma prestanka postupanja koje je dovelo do isključenja. </w:t>
      </w:r>
    </w:p>
    <w:p w14:paraId="63C86BE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1ADF82DD" w14:textId="0DE393EF"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U slučaju raskida Ugovora u skladu s ovim člankom, Korisnik nema pravo na daljnju isplatu bespovratnih sredstava te mora vratiti sredstva koja je primio po osnovi Ugovora. Kada je Korisniku naložen povrat sredstava po nekoj osnovi utvrđenoj Ugovorom, Korisnik je obvezan vratiti i kamate.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2EA2266" w14:textId="0E8EFC9B"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 nastaje zbog mjere obustave plaćanja.</w:t>
      </w:r>
    </w:p>
    <w:p w14:paraId="4B367FF7"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4D80991" w14:textId="48C41208"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9373B6">
        <w:rPr>
          <w:rFonts w:ascii="Times New Roman" w:eastAsia="Calibri" w:hAnsi="Times New Roman" w:cs="Times New Roman"/>
          <w:sz w:val="24"/>
          <w:szCs w:val="24"/>
          <w:lang w:eastAsia="hr-HR"/>
        </w:rPr>
        <w:t>NKT</w:t>
      </w:r>
      <w:r w:rsidR="00FD01D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nije dostavio odgovarajuća pojašnjena.</w:t>
      </w:r>
    </w:p>
    <w:p w14:paraId="6EF3A330"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13C86C64"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rsidP="00932F74">
      <w:pPr>
        <w:pStyle w:val="Naslov2"/>
      </w:pPr>
      <w:bookmarkStart w:id="44" w:name="_Toc61948949"/>
      <w:r w:rsidRPr="00912019">
        <w:t>Raskid Ugovora – izjava Korisnika i sporazumni raskid</w:t>
      </w:r>
      <w:bookmarkEnd w:id="44"/>
    </w:p>
    <w:p w14:paraId="238F580C"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4D317AD5" w14:textId="707E0775"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8CF2D86" w14:textId="1E7D6D80"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FBDF286" w14:textId="12A1B836"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oročenjima primljenih sredstava, te iznos kamate na te iznos kamate na depozite po viđenju ostvarene kod poslovne banke za sredstva primljena temeljem Ugovora od datuma primitka sredstava do datuma povrata sredstava.</w:t>
      </w:r>
    </w:p>
    <w:p w14:paraId="650DE840"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358FC5DA" w14:textId="77777777" w:rsidR="00534D59" w:rsidRDefault="00534D59" w:rsidP="00912019">
      <w:pPr>
        <w:spacing w:after="200" w:line="240" w:lineRule="auto"/>
        <w:jc w:val="center"/>
        <w:rPr>
          <w:rFonts w:ascii="Times New Roman" w:eastAsia="Calibri" w:hAnsi="Times New Roman" w:cs="Times New Roman"/>
          <w:b/>
          <w:sz w:val="24"/>
          <w:szCs w:val="24"/>
          <w:lang w:eastAsia="hr-HR"/>
        </w:rPr>
      </w:pPr>
    </w:p>
    <w:p w14:paraId="751992AB" w14:textId="0EC1A2D0" w:rsidR="00912019" w:rsidRPr="00912019" w:rsidRDefault="00912019" w:rsidP="00932F74">
      <w:pPr>
        <w:pStyle w:val="Naslov1"/>
      </w:pPr>
      <w:bookmarkStart w:id="45" w:name="_Toc61948950"/>
      <w:r w:rsidRPr="00912019">
        <w:t>ZAVRŠNE ODREDBE</w:t>
      </w:r>
      <w:bookmarkEnd w:id="45"/>
    </w:p>
    <w:p w14:paraId="711C91F8" w14:textId="77777777" w:rsidR="00912019" w:rsidRPr="00912019" w:rsidRDefault="00912019" w:rsidP="00932F74">
      <w:pPr>
        <w:pStyle w:val="Naslov2"/>
      </w:pPr>
      <w:bookmarkStart w:id="46" w:name="_Toc61948951"/>
      <w:r w:rsidRPr="00912019">
        <w:t>Primjenjivo pravo i jezik Ugovora</w:t>
      </w:r>
      <w:bookmarkEnd w:id="46"/>
    </w:p>
    <w:p w14:paraId="7018D964" w14:textId="77777777"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93B8F50" w14:textId="01B8251C"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19C37A1" w14:textId="77777777" w:rsidR="00912019" w:rsidRPr="00912019" w:rsidRDefault="00912019" w:rsidP="00932F74">
      <w:pPr>
        <w:pStyle w:val="Naslov2"/>
      </w:pPr>
      <w:bookmarkStart w:id="47" w:name="_Toc61948952"/>
      <w:r w:rsidRPr="00912019">
        <w:t>Postupanje u dobroj vjeri i međusobna suradnja</w:t>
      </w:r>
      <w:bookmarkEnd w:id="47"/>
    </w:p>
    <w:p w14:paraId="610EBA95"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D18CE95" w14:textId="598BF738"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6E5CC26" w14:textId="0EE9E7DD"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38D57BD0"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9B1E0E5"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1425FBB" w14:textId="1A1BE699" w:rsidR="00912019" w:rsidRPr="00FC4591" w:rsidRDefault="00FC4591" w:rsidP="00932F74">
      <w:pPr>
        <w:pStyle w:val="Naslov2"/>
      </w:pPr>
      <w:bookmarkStart w:id="48" w:name="_Toc61948953"/>
      <w:r w:rsidRPr="00FC4591">
        <w:t>Odgovornost za štetu</w:t>
      </w:r>
      <w:bookmarkEnd w:id="48"/>
    </w:p>
    <w:p w14:paraId="2A5F6D1D"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i/>
          <w:iCs/>
          <w:sz w:val="24"/>
          <w:szCs w:val="24"/>
          <w:lang w:eastAsia="hr-HR"/>
        </w:rPr>
      </w:pPr>
    </w:p>
    <w:p w14:paraId="29E9C5C2" w14:textId="21B8D881" w:rsidR="00912019" w:rsidRPr="003523ED" w:rsidRDefault="003523ED"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912019">
      <w:pPr>
        <w:autoSpaceDE w:val="0"/>
        <w:autoSpaceDN w:val="0"/>
        <w:adjustRightInd w:val="0"/>
        <w:spacing w:after="0" w:line="240" w:lineRule="auto"/>
        <w:ind w:left="-360"/>
        <w:rPr>
          <w:rFonts w:ascii="Times New Roman" w:eastAsia="Calibri" w:hAnsi="Times New Roman" w:cs="Times New Roman"/>
          <w:sz w:val="24"/>
          <w:szCs w:val="24"/>
          <w:lang w:eastAsia="hr-HR"/>
        </w:rPr>
      </w:pPr>
    </w:p>
    <w:p w14:paraId="5351648B" w14:textId="17A22307" w:rsidR="003523ED" w:rsidRPr="003523ED" w:rsidRDefault="00F11FBC" w:rsidP="003523E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postupovnih troškova, troškova zastupanja, kamata kao i ostalih sporednih potraživanja, bilo da su ostvarena sudskim ili izvansudskim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3523E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2C1D31D" w14:textId="77777777" w:rsidR="00CB3D21" w:rsidRDefault="00CB3D21"/>
    <w:sectPr w:rsidR="00CB3D21" w:rsidSect="00605F45">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8CE0" w14:textId="77777777" w:rsidR="00EC7CC0" w:rsidRDefault="00EC7CC0" w:rsidP="00912019">
      <w:pPr>
        <w:spacing w:after="0" w:line="240" w:lineRule="auto"/>
      </w:pPr>
      <w:r>
        <w:separator/>
      </w:r>
    </w:p>
  </w:endnote>
  <w:endnote w:type="continuationSeparator" w:id="0">
    <w:p w14:paraId="362AC1E6" w14:textId="77777777" w:rsidR="00EC7CC0" w:rsidRDefault="00EC7CC0" w:rsidP="00912019">
      <w:pPr>
        <w:spacing w:after="0" w:line="240" w:lineRule="auto"/>
      </w:pPr>
      <w:r>
        <w:continuationSeparator/>
      </w:r>
    </w:p>
  </w:endnote>
  <w:endnote w:type="continuationNotice" w:id="1">
    <w:p w14:paraId="15C32880" w14:textId="77777777" w:rsidR="00EC7CC0" w:rsidRDefault="00EC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6FC8" w14:textId="77777777" w:rsidR="00EC7CC0" w:rsidRDefault="00EC7CC0" w:rsidP="00912019">
      <w:pPr>
        <w:spacing w:after="0" w:line="240" w:lineRule="auto"/>
      </w:pPr>
      <w:r>
        <w:separator/>
      </w:r>
    </w:p>
  </w:footnote>
  <w:footnote w:type="continuationSeparator" w:id="0">
    <w:p w14:paraId="2D9714E6" w14:textId="77777777" w:rsidR="00EC7CC0" w:rsidRDefault="00EC7CC0" w:rsidP="00912019">
      <w:pPr>
        <w:spacing w:after="0" w:line="240" w:lineRule="auto"/>
      </w:pPr>
      <w:r>
        <w:continuationSeparator/>
      </w:r>
    </w:p>
  </w:footnote>
  <w:footnote w:type="continuationNotice" w:id="1">
    <w:p w14:paraId="3F11BF44" w14:textId="77777777" w:rsidR="00EC7CC0" w:rsidRDefault="00EC7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7894" w14:textId="0BDF447A" w:rsidR="00605F45" w:rsidRDefault="00605F45" w:rsidP="00B833F1">
    <w:pPr>
      <w:pStyle w:val="Zaglavlj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19"/>
    <w:rsid w:val="00006141"/>
    <w:rsid w:val="00012DB6"/>
    <w:rsid w:val="0002155B"/>
    <w:rsid w:val="00024FE6"/>
    <w:rsid w:val="00037C28"/>
    <w:rsid w:val="00040886"/>
    <w:rsid w:val="00045AD7"/>
    <w:rsid w:val="00057109"/>
    <w:rsid w:val="000615ED"/>
    <w:rsid w:val="000628D3"/>
    <w:rsid w:val="00062EFA"/>
    <w:rsid w:val="00071D73"/>
    <w:rsid w:val="00083C41"/>
    <w:rsid w:val="00086CC1"/>
    <w:rsid w:val="000A0D8D"/>
    <w:rsid w:val="000A47B4"/>
    <w:rsid w:val="000B202B"/>
    <w:rsid w:val="000B3303"/>
    <w:rsid w:val="000B7288"/>
    <w:rsid w:val="000B7616"/>
    <w:rsid w:val="000C5E08"/>
    <w:rsid w:val="000D3F38"/>
    <w:rsid w:val="000D50B8"/>
    <w:rsid w:val="000E7E18"/>
    <w:rsid w:val="000F0597"/>
    <w:rsid w:val="000F09D2"/>
    <w:rsid w:val="000F49F3"/>
    <w:rsid w:val="000F7A39"/>
    <w:rsid w:val="00101C1A"/>
    <w:rsid w:val="0010469D"/>
    <w:rsid w:val="001048DF"/>
    <w:rsid w:val="00111BB0"/>
    <w:rsid w:val="0011646A"/>
    <w:rsid w:val="00116C18"/>
    <w:rsid w:val="00117DA0"/>
    <w:rsid w:val="00134C90"/>
    <w:rsid w:val="001408C7"/>
    <w:rsid w:val="00142D4D"/>
    <w:rsid w:val="00145846"/>
    <w:rsid w:val="0014723C"/>
    <w:rsid w:val="00150473"/>
    <w:rsid w:val="001523F8"/>
    <w:rsid w:val="001562E5"/>
    <w:rsid w:val="001662D6"/>
    <w:rsid w:val="00166869"/>
    <w:rsid w:val="00175360"/>
    <w:rsid w:val="00177992"/>
    <w:rsid w:val="00184EE4"/>
    <w:rsid w:val="001A468F"/>
    <w:rsid w:val="001B648D"/>
    <w:rsid w:val="001B76D5"/>
    <w:rsid w:val="001E6081"/>
    <w:rsid w:val="001E636F"/>
    <w:rsid w:val="001F6CD8"/>
    <w:rsid w:val="00200124"/>
    <w:rsid w:val="002073FE"/>
    <w:rsid w:val="00214F42"/>
    <w:rsid w:val="00230F7C"/>
    <w:rsid w:val="00237F34"/>
    <w:rsid w:val="002456BA"/>
    <w:rsid w:val="00250264"/>
    <w:rsid w:val="00265ACC"/>
    <w:rsid w:val="00265BCB"/>
    <w:rsid w:val="00273BA0"/>
    <w:rsid w:val="002808D7"/>
    <w:rsid w:val="00291C88"/>
    <w:rsid w:val="002A3D04"/>
    <w:rsid w:val="002B15DF"/>
    <w:rsid w:val="002B188D"/>
    <w:rsid w:val="002B2BF7"/>
    <w:rsid w:val="002B4C27"/>
    <w:rsid w:val="002C2B70"/>
    <w:rsid w:val="002C65C5"/>
    <w:rsid w:val="002D0349"/>
    <w:rsid w:val="002F14CD"/>
    <w:rsid w:val="002F20C5"/>
    <w:rsid w:val="002F2857"/>
    <w:rsid w:val="002F55F0"/>
    <w:rsid w:val="003001C4"/>
    <w:rsid w:val="003002E3"/>
    <w:rsid w:val="003060B3"/>
    <w:rsid w:val="0031196D"/>
    <w:rsid w:val="0031228C"/>
    <w:rsid w:val="00314800"/>
    <w:rsid w:val="003200C0"/>
    <w:rsid w:val="00334128"/>
    <w:rsid w:val="00335446"/>
    <w:rsid w:val="003364F7"/>
    <w:rsid w:val="003456CE"/>
    <w:rsid w:val="00350567"/>
    <w:rsid w:val="003523ED"/>
    <w:rsid w:val="00363F6E"/>
    <w:rsid w:val="00375C97"/>
    <w:rsid w:val="003804C9"/>
    <w:rsid w:val="00383B88"/>
    <w:rsid w:val="0038690A"/>
    <w:rsid w:val="00392271"/>
    <w:rsid w:val="00396448"/>
    <w:rsid w:val="003A07D3"/>
    <w:rsid w:val="003A2320"/>
    <w:rsid w:val="003A3201"/>
    <w:rsid w:val="003B0831"/>
    <w:rsid w:val="003C2057"/>
    <w:rsid w:val="003C6DE5"/>
    <w:rsid w:val="003D1917"/>
    <w:rsid w:val="003D45DF"/>
    <w:rsid w:val="003E34EF"/>
    <w:rsid w:val="003E40E8"/>
    <w:rsid w:val="003F302F"/>
    <w:rsid w:val="0040492E"/>
    <w:rsid w:val="00405428"/>
    <w:rsid w:val="004140A1"/>
    <w:rsid w:val="00430FB0"/>
    <w:rsid w:val="004317E1"/>
    <w:rsid w:val="00431F3E"/>
    <w:rsid w:val="00432DD0"/>
    <w:rsid w:val="00440013"/>
    <w:rsid w:val="00441D2B"/>
    <w:rsid w:val="00446B58"/>
    <w:rsid w:val="00447484"/>
    <w:rsid w:val="00452D58"/>
    <w:rsid w:val="00456980"/>
    <w:rsid w:val="00460CD0"/>
    <w:rsid w:val="0046261D"/>
    <w:rsid w:val="00480ABD"/>
    <w:rsid w:val="0048684B"/>
    <w:rsid w:val="004951ED"/>
    <w:rsid w:val="004C5BF1"/>
    <w:rsid w:val="004D5990"/>
    <w:rsid w:val="004D68DE"/>
    <w:rsid w:val="004E1AB8"/>
    <w:rsid w:val="004F7191"/>
    <w:rsid w:val="0051039A"/>
    <w:rsid w:val="00511643"/>
    <w:rsid w:val="00514217"/>
    <w:rsid w:val="00515D3A"/>
    <w:rsid w:val="00520CB5"/>
    <w:rsid w:val="00527C6F"/>
    <w:rsid w:val="00534D59"/>
    <w:rsid w:val="00537EB1"/>
    <w:rsid w:val="0055789B"/>
    <w:rsid w:val="00560313"/>
    <w:rsid w:val="005607D1"/>
    <w:rsid w:val="005662F7"/>
    <w:rsid w:val="005766D3"/>
    <w:rsid w:val="005857EE"/>
    <w:rsid w:val="0059213C"/>
    <w:rsid w:val="005A1975"/>
    <w:rsid w:val="005A2960"/>
    <w:rsid w:val="005A3F5C"/>
    <w:rsid w:val="005A59CB"/>
    <w:rsid w:val="005B108E"/>
    <w:rsid w:val="005C0AC6"/>
    <w:rsid w:val="005C1002"/>
    <w:rsid w:val="005C10BE"/>
    <w:rsid w:val="005C2F1D"/>
    <w:rsid w:val="005D1D29"/>
    <w:rsid w:val="005E5E58"/>
    <w:rsid w:val="005F26B5"/>
    <w:rsid w:val="006010AA"/>
    <w:rsid w:val="00605B01"/>
    <w:rsid w:val="00605F45"/>
    <w:rsid w:val="00607AFB"/>
    <w:rsid w:val="00610C2B"/>
    <w:rsid w:val="0061102D"/>
    <w:rsid w:val="006117E6"/>
    <w:rsid w:val="00621A64"/>
    <w:rsid w:val="00623ABA"/>
    <w:rsid w:val="006268D9"/>
    <w:rsid w:val="00626CD9"/>
    <w:rsid w:val="006340DF"/>
    <w:rsid w:val="00650813"/>
    <w:rsid w:val="00651008"/>
    <w:rsid w:val="00662F88"/>
    <w:rsid w:val="00663B1F"/>
    <w:rsid w:val="00671C53"/>
    <w:rsid w:val="00683A9F"/>
    <w:rsid w:val="00687C01"/>
    <w:rsid w:val="00691F24"/>
    <w:rsid w:val="006926B3"/>
    <w:rsid w:val="00695CF5"/>
    <w:rsid w:val="006961F4"/>
    <w:rsid w:val="00697C48"/>
    <w:rsid w:val="006A0D54"/>
    <w:rsid w:val="006A4AFD"/>
    <w:rsid w:val="006A5F63"/>
    <w:rsid w:val="006A7EA4"/>
    <w:rsid w:val="006B5480"/>
    <w:rsid w:val="006B54DE"/>
    <w:rsid w:val="006B60BF"/>
    <w:rsid w:val="006C1324"/>
    <w:rsid w:val="006C19A6"/>
    <w:rsid w:val="006D529C"/>
    <w:rsid w:val="006D5B6F"/>
    <w:rsid w:val="006E02E5"/>
    <w:rsid w:val="006E089A"/>
    <w:rsid w:val="006E6BC8"/>
    <w:rsid w:val="006E6C22"/>
    <w:rsid w:val="006F38EC"/>
    <w:rsid w:val="007030B1"/>
    <w:rsid w:val="007049A3"/>
    <w:rsid w:val="007074B1"/>
    <w:rsid w:val="00721497"/>
    <w:rsid w:val="0073518D"/>
    <w:rsid w:val="00735A8D"/>
    <w:rsid w:val="007373D9"/>
    <w:rsid w:val="007418A5"/>
    <w:rsid w:val="00784D7A"/>
    <w:rsid w:val="007863F1"/>
    <w:rsid w:val="00787FB0"/>
    <w:rsid w:val="007977B2"/>
    <w:rsid w:val="007A07CD"/>
    <w:rsid w:val="007A09EC"/>
    <w:rsid w:val="007A1018"/>
    <w:rsid w:val="007B377D"/>
    <w:rsid w:val="007B5F90"/>
    <w:rsid w:val="007C6266"/>
    <w:rsid w:val="007D5409"/>
    <w:rsid w:val="007E56E4"/>
    <w:rsid w:val="007E74DA"/>
    <w:rsid w:val="007F3E6E"/>
    <w:rsid w:val="008019DB"/>
    <w:rsid w:val="0080665E"/>
    <w:rsid w:val="00813540"/>
    <w:rsid w:val="008136E5"/>
    <w:rsid w:val="00821737"/>
    <w:rsid w:val="00844642"/>
    <w:rsid w:val="008464B0"/>
    <w:rsid w:val="008468F7"/>
    <w:rsid w:val="00853276"/>
    <w:rsid w:val="00855640"/>
    <w:rsid w:val="00857E16"/>
    <w:rsid w:val="00874B3D"/>
    <w:rsid w:val="00875D56"/>
    <w:rsid w:val="008803AB"/>
    <w:rsid w:val="00881B41"/>
    <w:rsid w:val="00886938"/>
    <w:rsid w:val="00891D11"/>
    <w:rsid w:val="00893468"/>
    <w:rsid w:val="008A3209"/>
    <w:rsid w:val="008A5D66"/>
    <w:rsid w:val="008A5F76"/>
    <w:rsid w:val="008C1752"/>
    <w:rsid w:val="008D247B"/>
    <w:rsid w:val="008D5AF5"/>
    <w:rsid w:val="008D6102"/>
    <w:rsid w:val="008E79CE"/>
    <w:rsid w:val="008F3EAD"/>
    <w:rsid w:val="00902B2C"/>
    <w:rsid w:val="00903008"/>
    <w:rsid w:val="00904880"/>
    <w:rsid w:val="00912019"/>
    <w:rsid w:val="00914231"/>
    <w:rsid w:val="009143C5"/>
    <w:rsid w:val="0092036D"/>
    <w:rsid w:val="00923EF0"/>
    <w:rsid w:val="00924427"/>
    <w:rsid w:val="00930D45"/>
    <w:rsid w:val="00932F74"/>
    <w:rsid w:val="009373B6"/>
    <w:rsid w:val="009377E9"/>
    <w:rsid w:val="00941A7E"/>
    <w:rsid w:val="009703E1"/>
    <w:rsid w:val="00972B1A"/>
    <w:rsid w:val="0098456B"/>
    <w:rsid w:val="0099585F"/>
    <w:rsid w:val="009A27AB"/>
    <w:rsid w:val="009B14AD"/>
    <w:rsid w:val="009D74F9"/>
    <w:rsid w:val="009F5352"/>
    <w:rsid w:val="00A01D1D"/>
    <w:rsid w:val="00A15B48"/>
    <w:rsid w:val="00A52B99"/>
    <w:rsid w:val="00A623A2"/>
    <w:rsid w:val="00A70B18"/>
    <w:rsid w:val="00A74C66"/>
    <w:rsid w:val="00A75404"/>
    <w:rsid w:val="00A766DF"/>
    <w:rsid w:val="00A8050A"/>
    <w:rsid w:val="00A8478D"/>
    <w:rsid w:val="00A84B49"/>
    <w:rsid w:val="00A85716"/>
    <w:rsid w:val="00AA257E"/>
    <w:rsid w:val="00AA6812"/>
    <w:rsid w:val="00AB097B"/>
    <w:rsid w:val="00AB2A5D"/>
    <w:rsid w:val="00AB2FEC"/>
    <w:rsid w:val="00AB59CC"/>
    <w:rsid w:val="00AC191A"/>
    <w:rsid w:val="00AF3C22"/>
    <w:rsid w:val="00B01656"/>
    <w:rsid w:val="00B04C59"/>
    <w:rsid w:val="00B05866"/>
    <w:rsid w:val="00B0596C"/>
    <w:rsid w:val="00B13F3B"/>
    <w:rsid w:val="00B14C95"/>
    <w:rsid w:val="00B26ED1"/>
    <w:rsid w:val="00B3011F"/>
    <w:rsid w:val="00B328E6"/>
    <w:rsid w:val="00B345F3"/>
    <w:rsid w:val="00B41BB4"/>
    <w:rsid w:val="00B43EC3"/>
    <w:rsid w:val="00B4489C"/>
    <w:rsid w:val="00B45CC9"/>
    <w:rsid w:val="00B5319A"/>
    <w:rsid w:val="00B80A08"/>
    <w:rsid w:val="00B833F1"/>
    <w:rsid w:val="00B85AF1"/>
    <w:rsid w:val="00B92B92"/>
    <w:rsid w:val="00B9749D"/>
    <w:rsid w:val="00B97C36"/>
    <w:rsid w:val="00BA274E"/>
    <w:rsid w:val="00BA6101"/>
    <w:rsid w:val="00BB71B7"/>
    <w:rsid w:val="00BE0EC0"/>
    <w:rsid w:val="00BE1600"/>
    <w:rsid w:val="00BF53C1"/>
    <w:rsid w:val="00BF5F52"/>
    <w:rsid w:val="00BF73CC"/>
    <w:rsid w:val="00C01066"/>
    <w:rsid w:val="00C017DE"/>
    <w:rsid w:val="00C057A9"/>
    <w:rsid w:val="00C14EBE"/>
    <w:rsid w:val="00C17633"/>
    <w:rsid w:val="00C22AB8"/>
    <w:rsid w:val="00C24715"/>
    <w:rsid w:val="00C27053"/>
    <w:rsid w:val="00C34A84"/>
    <w:rsid w:val="00C35F5E"/>
    <w:rsid w:val="00C42260"/>
    <w:rsid w:val="00C45E5F"/>
    <w:rsid w:val="00C47221"/>
    <w:rsid w:val="00C51AEA"/>
    <w:rsid w:val="00C70B08"/>
    <w:rsid w:val="00C75266"/>
    <w:rsid w:val="00C7696C"/>
    <w:rsid w:val="00C810CE"/>
    <w:rsid w:val="00C92245"/>
    <w:rsid w:val="00C94D6F"/>
    <w:rsid w:val="00CA40D3"/>
    <w:rsid w:val="00CA4822"/>
    <w:rsid w:val="00CA6597"/>
    <w:rsid w:val="00CB1F2B"/>
    <w:rsid w:val="00CB3D21"/>
    <w:rsid w:val="00CB423D"/>
    <w:rsid w:val="00CC0589"/>
    <w:rsid w:val="00CC57EF"/>
    <w:rsid w:val="00CC67C2"/>
    <w:rsid w:val="00CD34F6"/>
    <w:rsid w:val="00CD6CBB"/>
    <w:rsid w:val="00CD7159"/>
    <w:rsid w:val="00CE1655"/>
    <w:rsid w:val="00CF23B5"/>
    <w:rsid w:val="00CF4C18"/>
    <w:rsid w:val="00CF6A03"/>
    <w:rsid w:val="00D04BB6"/>
    <w:rsid w:val="00D0578D"/>
    <w:rsid w:val="00D12DC0"/>
    <w:rsid w:val="00D227F9"/>
    <w:rsid w:val="00D624A6"/>
    <w:rsid w:val="00D63AB5"/>
    <w:rsid w:val="00D67CBB"/>
    <w:rsid w:val="00D75784"/>
    <w:rsid w:val="00D760F9"/>
    <w:rsid w:val="00D90AC7"/>
    <w:rsid w:val="00D90CCC"/>
    <w:rsid w:val="00D97734"/>
    <w:rsid w:val="00D979E3"/>
    <w:rsid w:val="00DA5761"/>
    <w:rsid w:val="00DA6A4B"/>
    <w:rsid w:val="00DB04B0"/>
    <w:rsid w:val="00DD103A"/>
    <w:rsid w:val="00DD51A8"/>
    <w:rsid w:val="00DD7B88"/>
    <w:rsid w:val="00DE1312"/>
    <w:rsid w:val="00DF39E2"/>
    <w:rsid w:val="00DF3C99"/>
    <w:rsid w:val="00DF6985"/>
    <w:rsid w:val="00E0040E"/>
    <w:rsid w:val="00E10DA2"/>
    <w:rsid w:val="00E208A5"/>
    <w:rsid w:val="00E20ABE"/>
    <w:rsid w:val="00E21245"/>
    <w:rsid w:val="00E2272D"/>
    <w:rsid w:val="00E369C3"/>
    <w:rsid w:val="00E43654"/>
    <w:rsid w:val="00E43F2C"/>
    <w:rsid w:val="00E4547F"/>
    <w:rsid w:val="00E4795E"/>
    <w:rsid w:val="00E505B5"/>
    <w:rsid w:val="00E5125A"/>
    <w:rsid w:val="00E55E0E"/>
    <w:rsid w:val="00E679BA"/>
    <w:rsid w:val="00E75A02"/>
    <w:rsid w:val="00E80B68"/>
    <w:rsid w:val="00E84704"/>
    <w:rsid w:val="00E858B5"/>
    <w:rsid w:val="00E94705"/>
    <w:rsid w:val="00E97639"/>
    <w:rsid w:val="00EA5B3F"/>
    <w:rsid w:val="00EA6BC8"/>
    <w:rsid w:val="00EC5ECE"/>
    <w:rsid w:val="00EC7CC0"/>
    <w:rsid w:val="00EE2297"/>
    <w:rsid w:val="00EF154B"/>
    <w:rsid w:val="00F02E94"/>
    <w:rsid w:val="00F11FBC"/>
    <w:rsid w:val="00F174D3"/>
    <w:rsid w:val="00F17E14"/>
    <w:rsid w:val="00F27584"/>
    <w:rsid w:val="00F41910"/>
    <w:rsid w:val="00F437EC"/>
    <w:rsid w:val="00F46FB3"/>
    <w:rsid w:val="00F567CC"/>
    <w:rsid w:val="00F61E87"/>
    <w:rsid w:val="00F62209"/>
    <w:rsid w:val="00F7139A"/>
    <w:rsid w:val="00F72B90"/>
    <w:rsid w:val="00F747E8"/>
    <w:rsid w:val="00F74A02"/>
    <w:rsid w:val="00F75163"/>
    <w:rsid w:val="00F761D2"/>
    <w:rsid w:val="00F77ECA"/>
    <w:rsid w:val="00FA71E8"/>
    <w:rsid w:val="00FA7CBC"/>
    <w:rsid w:val="00FC0A7D"/>
    <w:rsid w:val="00FC2917"/>
    <w:rsid w:val="00FC4591"/>
    <w:rsid w:val="00FC783C"/>
    <w:rsid w:val="00FD01DB"/>
    <w:rsid w:val="00FD6BD0"/>
    <w:rsid w:val="00FE3B02"/>
    <w:rsid w:val="00FF1A3A"/>
    <w:rsid w:val="00FF1A52"/>
    <w:rsid w:val="00FF2C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Naslov2">
    <w:name w:val="heading 2"/>
    <w:basedOn w:val="Normal"/>
    <w:next w:val="Normal"/>
    <w:link w:val="Naslov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styleId="Referencakomentara">
    <w:name w:val="annotation reference"/>
    <w:basedOn w:val="Zadanifontodlomka"/>
    <w:uiPriority w:val="99"/>
    <w:semiHidden/>
    <w:unhideWhenUsed/>
    <w:rsid w:val="00363F6E"/>
    <w:rPr>
      <w:sz w:val="16"/>
      <w:szCs w:val="16"/>
    </w:rPr>
  </w:style>
  <w:style w:type="paragraph" w:styleId="Tekstkomentara">
    <w:name w:val="annotation text"/>
    <w:basedOn w:val="Normal"/>
    <w:link w:val="TekstkomentaraChar"/>
    <w:uiPriority w:val="99"/>
    <w:semiHidden/>
    <w:unhideWhenUsed/>
    <w:rsid w:val="00363F6E"/>
    <w:pPr>
      <w:spacing w:line="240" w:lineRule="auto"/>
    </w:pPr>
    <w:rPr>
      <w:sz w:val="20"/>
      <w:szCs w:val="20"/>
    </w:rPr>
  </w:style>
  <w:style w:type="character" w:customStyle="1" w:styleId="TekstkomentaraChar">
    <w:name w:val="Tekst komentara Char"/>
    <w:basedOn w:val="Zadanifontodlomka"/>
    <w:link w:val="Tekstkomentara"/>
    <w:uiPriority w:val="99"/>
    <w:semiHidden/>
    <w:rsid w:val="00363F6E"/>
    <w:rPr>
      <w:sz w:val="20"/>
      <w:szCs w:val="20"/>
    </w:rPr>
  </w:style>
  <w:style w:type="paragraph" w:styleId="Predmetkomentara">
    <w:name w:val="annotation subject"/>
    <w:basedOn w:val="Tekstkomentara"/>
    <w:next w:val="Tekstkomentara"/>
    <w:link w:val="PredmetkomentaraChar"/>
    <w:uiPriority w:val="99"/>
    <w:semiHidden/>
    <w:unhideWhenUsed/>
    <w:rsid w:val="00363F6E"/>
    <w:rPr>
      <w:b/>
      <w:bCs/>
    </w:rPr>
  </w:style>
  <w:style w:type="character" w:customStyle="1" w:styleId="PredmetkomentaraChar">
    <w:name w:val="Predmet komentara Char"/>
    <w:basedOn w:val="TekstkomentaraChar"/>
    <w:link w:val="Predmetkomentara"/>
    <w:uiPriority w:val="99"/>
    <w:semiHidden/>
    <w:rsid w:val="00363F6E"/>
    <w:rPr>
      <w:b/>
      <w:bCs/>
      <w:sz w:val="20"/>
      <w:szCs w:val="20"/>
    </w:rPr>
  </w:style>
  <w:style w:type="character" w:customStyle="1" w:styleId="Naslov1Char">
    <w:name w:val="Naslov 1 Char"/>
    <w:basedOn w:val="Zadanifontodlomka"/>
    <w:link w:val="Naslov1"/>
    <w:uiPriority w:val="9"/>
    <w:rsid w:val="00663B1F"/>
    <w:rPr>
      <w:rFonts w:ascii="Times New Roman" w:eastAsia="Calibri" w:hAnsi="Times New Roman" w:cs="Times New Roman"/>
      <w:b/>
      <w:sz w:val="24"/>
      <w:szCs w:val="24"/>
      <w:lang w:eastAsia="hr-HR"/>
    </w:rPr>
  </w:style>
  <w:style w:type="character" w:customStyle="1" w:styleId="Naslov2Char">
    <w:name w:val="Naslov 2 Char"/>
    <w:basedOn w:val="Zadanifontodlomka"/>
    <w:link w:val="Naslov2"/>
    <w:uiPriority w:val="9"/>
    <w:rsid w:val="00663B1F"/>
    <w:rPr>
      <w:rFonts w:ascii="Times New Roman" w:eastAsia="Calibri" w:hAnsi="Times New Roman" w:cs="Times New Roman"/>
      <w:i/>
      <w:sz w:val="24"/>
      <w:szCs w:val="24"/>
      <w:lang w:eastAsia="hr-HR"/>
    </w:rPr>
  </w:style>
  <w:style w:type="paragraph" w:styleId="TOCNaslov">
    <w:name w:val="TOC Heading"/>
    <w:basedOn w:val="Naslov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adraj1">
    <w:name w:val="toc 1"/>
    <w:basedOn w:val="Normal"/>
    <w:next w:val="Normal"/>
    <w:autoRedefine/>
    <w:uiPriority w:val="39"/>
    <w:unhideWhenUsed/>
    <w:rsid w:val="003C6DE5"/>
    <w:pPr>
      <w:spacing w:after="100"/>
    </w:pPr>
  </w:style>
  <w:style w:type="paragraph" w:styleId="Sadraj2">
    <w:name w:val="toc 2"/>
    <w:basedOn w:val="Normal"/>
    <w:next w:val="Normal"/>
    <w:autoRedefine/>
    <w:uiPriority w:val="39"/>
    <w:unhideWhenUsed/>
    <w:rsid w:val="003C6DE5"/>
    <w:pPr>
      <w:spacing w:after="100"/>
      <w:ind w:left="220"/>
    </w:pPr>
  </w:style>
  <w:style w:type="character" w:styleId="Hiperveza">
    <w:name w:val="Hyperlink"/>
    <w:basedOn w:val="Zadanifontodlomka"/>
    <w:uiPriority w:val="99"/>
    <w:unhideWhenUsed/>
    <w:rsid w:val="003C6DE5"/>
    <w:rPr>
      <w:color w:val="0563C1" w:themeColor="hyperlink"/>
      <w:u w:val="single"/>
    </w:rPr>
  </w:style>
  <w:style w:type="paragraph" w:styleId="Bezproreda">
    <w:name w:val="No Spacing"/>
    <w:uiPriority w:val="1"/>
    <w:qFormat/>
    <w:rsid w:val="00B833F1"/>
    <w:pPr>
      <w:spacing w:after="0" w:line="240" w:lineRule="auto"/>
    </w:pPr>
  </w:style>
  <w:style w:type="paragraph" w:styleId="StandardWeb">
    <w:name w:val="Normal (Web)"/>
    <w:basedOn w:val="Normal"/>
    <w:uiPriority w:val="99"/>
    <w:rsid w:val="00B833F1"/>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BCAD4-CF2E-49D9-A6FA-94449CD46136}">
  <ds:schemaRefs>
    <ds:schemaRef ds:uri="http://schemas.openxmlformats.org/officeDocument/2006/bibliography"/>
  </ds:schemaRefs>
</ds:datastoreItem>
</file>

<file path=customXml/itemProps2.xml><?xml version="1.0" encoding="utf-8"?>
<ds:datastoreItem xmlns:ds="http://schemas.openxmlformats.org/officeDocument/2006/customXml" ds:itemID="{1AB2A864-03E3-4BDB-BC37-5E4B95C642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01650B-CB68-480A-80DE-7AA4F8F3B458}"/>
</file>

<file path=customXml/itemProps4.xml><?xml version="1.0" encoding="utf-8"?>
<ds:datastoreItem xmlns:ds="http://schemas.openxmlformats.org/officeDocument/2006/customXml" ds:itemID="{4D3B36AC-0A8F-4C0B-896D-D24A3241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11480</Words>
  <Characters>65440</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76767</CharactersWithSpaces>
  <SharedDoc>false</SharedDoc>
  <HLinks>
    <vt:vector size="204" baseType="variant">
      <vt:variant>
        <vt:i4>1572914</vt:i4>
      </vt:variant>
      <vt:variant>
        <vt:i4>200</vt:i4>
      </vt:variant>
      <vt:variant>
        <vt:i4>0</vt:i4>
      </vt:variant>
      <vt:variant>
        <vt:i4>5</vt:i4>
      </vt:variant>
      <vt:variant>
        <vt:lpwstr/>
      </vt:variant>
      <vt:variant>
        <vt:lpwstr>_Toc61948953</vt:lpwstr>
      </vt:variant>
      <vt:variant>
        <vt:i4>1638450</vt:i4>
      </vt:variant>
      <vt:variant>
        <vt:i4>194</vt:i4>
      </vt:variant>
      <vt:variant>
        <vt:i4>0</vt:i4>
      </vt:variant>
      <vt:variant>
        <vt:i4>5</vt:i4>
      </vt:variant>
      <vt:variant>
        <vt:lpwstr/>
      </vt:variant>
      <vt:variant>
        <vt:lpwstr>_Toc61948952</vt:lpwstr>
      </vt:variant>
      <vt:variant>
        <vt:i4>1703986</vt:i4>
      </vt:variant>
      <vt:variant>
        <vt:i4>188</vt:i4>
      </vt:variant>
      <vt:variant>
        <vt:i4>0</vt:i4>
      </vt:variant>
      <vt:variant>
        <vt:i4>5</vt:i4>
      </vt:variant>
      <vt:variant>
        <vt:lpwstr/>
      </vt:variant>
      <vt:variant>
        <vt:lpwstr>_Toc61948951</vt:lpwstr>
      </vt:variant>
      <vt:variant>
        <vt:i4>1769522</vt:i4>
      </vt:variant>
      <vt:variant>
        <vt:i4>182</vt:i4>
      </vt:variant>
      <vt:variant>
        <vt:i4>0</vt:i4>
      </vt:variant>
      <vt:variant>
        <vt:i4>5</vt:i4>
      </vt:variant>
      <vt:variant>
        <vt:lpwstr/>
      </vt:variant>
      <vt:variant>
        <vt:lpwstr>_Toc61948950</vt:lpwstr>
      </vt:variant>
      <vt:variant>
        <vt:i4>1179699</vt:i4>
      </vt:variant>
      <vt:variant>
        <vt:i4>176</vt:i4>
      </vt:variant>
      <vt:variant>
        <vt:i4>0</vt:i4>
      </vt:variant>
      <vt:variant>
        <vt:i4>5</vt:i4>
      </vt:variant>
      <vt:variant>
        <vt:lpwstr/>
      </vt:variant>
      <vt:variant>
        <vt:lpwstr>_Toc61948949</vt:lpwstr>
      </vt:variant>
      <vt:variant>
        <vt:i4>1245235</vt:i4>
      </vt:variant>
      <vt:variant>
        <vt:i4>170</vt:i4>
      </vt:variant>
      <vt:variant>
        <vt:i4>0</vt:i4>
      </vt:variant>
      <vt:variant>
        <vt:i4>5</vt:i4>
      </vt:variant>
      <vt:variant>
        <vt:lpwstr/>
      </vt:variant>
      <vt:variant>
        <vt:lpwstr>_Toc61948948</vt:lpwstr>
      </vt:variant>
      <vt:variant>
        <vt:i4>1835059</vt:i4>
      </vt:variant>
      <vt:variant>
        <vt:i4>164</vt:i4>
      </vt:variant>
      <vt:variant>
        <vt:i4>0</vt:i4>
      </vt:variant>
      <vt:variant>
        <vt:i4>5</vt:i4>
      </vt:variant>
      <vt:variant>
        <vt:lpwstr/>
      </vt:variant>
      <vt:variant>
        <vt:lpwstr>_Toc61948947</vt:lpwstr>
      </vt:variant>
      <vt:variant>
        <vt:i4>1900595</vt:i4>
      </vt:variant>
      <vt:variant>
        <vt:i4>158</vt:i4>
      </vt:variant>
      <vt:variant>
        <vt:i4>0</vt:i4>
      </vt:variant>
      <vt:variant>
        <vt:i4>5</vt:i4>
      </vt:variant>
      <vt:variant>
        <vt:lpwstr/>
      </vt:variant>
      <vt:variant>
        <vt:lpwstr>_Toc61948946</vt:lpwstr>
      </vt:variant>
      <vt:variant>
        <vt:i4>1966131</vt:i4>
      </vt:variant>
      <vt:variant>
        <vt:i4>152</vt:i4>
      </vt:variant>
      <vt:variant>
        <vt:i4>0</vt:i4>
      </vt:variant>
      <vt:variant>
        <vt:i4>5</vt:i4>
      </vt:variant>
      <vt:variant>
        <vt:lpwstr/>
      </vt:variant>
      <vt:variant>
        <vt:lpwstr>_Toc61948945</vt:lpwstr>
      </vt:variant>
      <vt:variant>
        <vt:i4>2031667</vt:i4>
      </vt:variant>
      <vt:variant>
        <vt:i4>146</vt:i4>
      </vt:variant>
      <vt:variant>
        <vt:i4>0</vt:i4>
      </vt:variant>
      <vt:variant>
        <vt:i4>5</vt:i4>
      </vt:variant>
      <vt:variant>
        <vt:lpwstr/>
      </vt:variant>
      <vt:variant>
        <vt:lpwstr>_Toc61948944</vt:lpwstr>
      </vt:variant>
      <vt:variant>
        <vt:i4>1572915</vt:i4>
      </vt:variant>
      <vt:variant>
        <vt:i4>140</vt:i4>
      </vt:variant>
      <vt:variant>
        <vt:i4>0</vt:i4>
      </vt:variant>
      <vt:variant>
        <vt:i4>5</vt:i4>
      </vt:variant>
      <vt:variant>
        <vt:lpwstr/>
      </vt:variant>
      <vt:variant>
        <vt:lpwstr>_Toc61948943</vt:lpwstr>
      </vt:variant>
      <vt:variant>
        <vt:i4>1638451</vt:i4>
      </vt:variant>
      <vt:variant>
        <vt:i4>134</vt:i4>
      </vt:variant>
      <vt:variant>
        <vt:i4>0</vt:i4>
      </vt:variant>
      <vt:variant>
        <vt:i4>5</vt:i4>
      </vt:variant>
      <vt:variant>
        <vt:lpwstr/>
      </vt:variant>
      <vt:variant>
        <vt:lpwstr>_Toc61948942</vt:lpwstr>
      </vt:variant>
      <vt:variant>
        <vt:i4>1703987</vt:i4>
      </vt:variant>
      <vt:variant>
        <vt:i4>128</vt:i4>
      </vt:variant>
      <vt:variant>
        <vt:i4>0</vt:i4>
      </vt:variant>
      <vt:variant>
        <vt:i4>5</vt:i4>
      </vt:variant>
      <vt:variant>
        <vt:lpwstr/>
      </vt:variant>
      <vt:variant>
        <vt:lpwstr>_Toc61948941</vt:lpwstr>
      </vt:variant>
      <vt:variant>
        <vt:i4>1769523</vt:i4>
      </vt:variant>
      <vt:variant>
        <vt:i4>122</vt:i4>
      </vt:variant>
      <vt:variant>
        <vt:i4>0</vt:i4>
      </vt:variant>
      <vt:variant>
        <vt:i4>5</vt:i4>
      </vt:variant>
      <vt:variant>
        <vt:lpwstr/>
      </vt:variant>
      <vt:variant>
        <vt:lpwstr>_Toc61948940</vt:lpwstr>
      </vt:variant>
      <vt:variant>
        <vt:i4>1179700</vt:i4>
      </vt:variant>
      <vt:variant>
        <vt:i4>116</vt:i4>
      </vt:variant>
      <vt:variant>
        <vt:i4>0</vt:i4>
      </vt:variant>
      <vt:variant>
        <vt:i4>5</vt:i4>
      </vt:variant>
      <vt:variant>
        <vt:lpwstr/>
      </vt:variant>
      <vt:variant>
        <vt:lpwstr>_Toc61948939</vt:lpwstr>
      </vt:variant>
      <vt:variant>
        <vt:i4>1245236</vt:i4>
      </vt:variant>
      <vt:variant>
        <vt:i4>110</vt:i4>
      </vt:variant>
      <vt:variant>
        <vt:i4>0</vt:i4>
      </vt:variant>
      <vt:variant>
        <vt:i4>5</vt:i4>
      </vt:variant>
      <vt:variant>
        <vt:lpwstr/>
      </vt:variant>
      <vt:variant>
        <vt:lpwstr>_Toc61948938</vt:lpwstr>
      </vt:variant>
      <vt:variant>
        <vt:i4>1835060</vt:i4>
      </vt:variant>
      <vt:variant>
        <vt:i4>104</vt:i4>
      </vt:variant>
      <vt:variant>
        <vt:i4>0</vt:i4>
      </vt:variant>
      <vt:variant>
        <vt:i4>5</vt:i4>
      </vt:variant>
      <vt:variant>
        <vt:lpwstr/>
      </vt:variant>
      <vt:variant>
        <vt:lpwstr>_Toc61948937</vt:lpwstr>
      </vt:variant>
      <vt:variant>
        <vt:i4>1900596</vt:i4>
      </vt:variant>
      <vt:variant>
        <vt:i4>98</vt:i4>
      </vt:variant>
      <vt:variant>
        <vt:i4>0</vt:i4>
      </vt:variant>
      <vt:variant>
        <vt:i4>5</vt:i4>
      </vt:variant>
      <vt:variant>
        <vt:lpwstr/>
      </vt:variant>
      <vt:variant>
        <vt:lpwstr>_Toc61948936</vt:lpwstr>
      </vt:variant>
      <vt:variant>
        <vt:i4>1966132</vt:i4>
      </vt:variant>
      <vt:variant>
        <vt:i4>92</vt:i4>
      </vt:variant>
      <vt:variant>
        <vt:i4>0</vt:i4>
      </vt:variant>
      <vt:variant>
        <vt:i4>5</vt:i4>
      </vt:variant>
      <vt:variant>
        <vt:lpwstr/>
      </vt:variant>
      <vt:variant>
        <vt:lpwstr>_Toc61948935</vt:lpwstr>
      </vt:variant>
      <vt:variant>
        <vt:i4>2031668</vt:i4>
      </vt:variant>
      <vt:variant>
        <vt:i4>86</vt:i4>
      </vt:variant>
      <vt:variant>
        <vt:i4>0</vt:i4>
      </vt:variant>
      <vt:variant>
        <vt:i4>5</vt:i4>
      </vt:variant>
      <vt:variant>
        <vt:lpwstr/>
      </vt:variant>
      <vt:variant>
        <vt:lpwstr>_Toc61948934</vt:lpwstr>
      </vt:variant>
      <vt:variant>
        <vt:i4>1572916</vt:i4>
      </vt:variant>
      <vt:variant>
        <vt:i4>80</vt:i4>
      </vt:variant>
      <vt:variant>
        <vt:i4>0</vt:i4>
      </vt:variant>
      <vt:variant>
        <vt:i4>5</vt:i4>
      </vt:variant>
      <vt:variant>
        <vt:lpwstr/>
      </vt:variant>
      <vt:variant>
        <vt:lpwstr>_Toc61948933</vt:lpwstr>
      </vt:variant>
      <vt:variant>
        <vt:i4>1638452</vt:i4>
      </vt:variant>
      <vt:variant>
        <vt:i4>74</vt:i4>
      </vt:variant>
      <vt:variant>
        <vt:i4>0</vt:i4>
      </vt:variant>
      <vt:variant>
        <vt:i4>5</vt:i4>
      </vt:variant>
      <vt:variant>
        <vt:lpwstr/>
      </vt:variant>
      <vt:variant>
        <vt:lpwstr>_Toc61948932</vt:lpwstr>
      </vt:variant>
      <vt:variant>
        <vt:i4>1703988</vt:i4>
      </vt:variant>
      <vt:variant>
        <vt:i4>68</vt:i4>
      </vt:variant>
      <vt:variant>
        <vt:i4>0</vt:i4>
      </vt:variant>
      <vt:variant>
        <vt:i4>5</vt:i4>
      </vt:variant>
      <vt:variant>
        <vt:lpwstr/>
      </vt:variant>
      <vt:variant>
        <vt:lpwstr>_Toc61948931</vt:lpwstr>
      </vt:variant>
      <vt:variant>
        <vt:i4>1769524</vt:i4>
      </vt:variant>
      <vt:variant>
        <vt:i4>62</vt:i4>
      </vt:variant>
      <vt:variant>
        <vt:i4>0</vt:i4>
      </vt:variant>
      <vt:variant>
        <vt:i4>5</vt:i4>
      </vt:variant>
      <vt:variant>
        <vt:lpwstr/>
      </vt:variant>
      <vt:variant>
        <vt:lpwstr>_Toc61948930</vt:lpwstr>
      </vt:variant>
      <vt:variant>
        <vt:i4>1179701</vt:i4>
      </vt:variant>
      <vt:variant>
        <vt:i4>56</vt:i4>
      </vt:variant>
      <vt:variant>
        <vt:i4>0</vt:i4>
      </vt:variant>
      <vt:variant>
        <vt:i4>5</vt:i4>
      </vt:variant>
      <vt:variant>
        <vt:lpwstr/>
      </vt:variant>
      <vt:variant>
        <vt:lpwstr>_Toc61948929</vt:lpwstr>
      </vt:variant>
      <vt:variant>
        <vt:i4>1245237</vt:i4>
      </vt:variant>
      <vt:variant>
        <vt:i4>50</vt:i4>
      </vt:variant>
      <vt:variant>
        <vt:i4>0</vt:i4>
      </vt:variant>
      <vt:variant>
        <vt:i4>5</vt:i4>
      </vt:variant>
      <vt:variant>
        <vt:lpwstr/>
      </vt:variant>
      <vt:variant>
        <vt:lpwstr>_Toc61948928</vt:lpwstr>
      </vt:variant>
      <vt:variant>
        <vt:i4>1835061</vt:i4>
      </vt:variant>
      <vt:variant>
        <vt:i4>44</vt:i4>
      </vt:variant>
      <vt:variant>
        <vt:i4>0</vt:i4>
      </vt:variant>
      <vt:variant>
        <vt:i4>5</vt:i4>
      </vt:variant>
      <vt:variant>
        <vt:lpwstr/>
      </vt:variant>
      <vt:variant>
        <vt:lpwstr>_Toc61948927</vt:lpwstr>
      </vt:variant>
      <vt:variant>
        <vt:i4>1900597</vt:i4>
      </vt:variant>
      <vt:variant>
        <vt:i4>38</vt:i4>
      </vt:variant>
      <vt:variant>
        <vt:i4>0</vt:i4>
      </vt:variant>
      <vt:variant>
        <vt:i4>5</vt:i4>
      </vt:variant>
      <vt:variant>
        <vt:lpwstr/>
      </vt:variant>
      <vt:variant>
        <vt:lpwstr>_Toc61948926</vt:lpwstr>
      </vt:variant>
      <vt:variant>
        <vt:i4>1966133</vt:i4>
      </vt:variant>
      <vt:variant>
        <vt:i4>32</vt:i4>
      </vt:variant>
      <vt:variant>
        <vt:i4>0</vt:i4>
      </vt:variant>
      <vt:variant>
        <vt:i4>5</vt:i4>
      </vt:variant>
      <vt:variant>
        <vt:lpwstr/>
      </vt:variant>
      <vt:variant>
        <vt:lpwstr>_Toc61948925</vt:lpwstr>
      </vt:variant>
      <vt:variant>
        <vt:i4>2031669</vt:i4>
      </vt:variant>
      <vt:variant>
        <vt:i4>26</vt:i4>
      </vt:variant>
      <vt:variant>
        <vt:i4>0</vt:i4>
      </vt:variant>
      <vt:variant>
        <vt:i4>5</vt:i4>
      </vt:variant>
      <vt:variant>
        <vt:lpwstr/>
      </vt:variant>
      <vt:variant>
        <vt:lpwstr>_Toc61948924</vt:lpwstr>
      </vt:variant>
      <vt:variant>
        <vt:i4>1572917</vt:i4>
      </vt:variant>
      <vt:variant>
        <vt:i4>20</vt:i4>
      </vt:variant>
      <vt:variant>
        <vt:i4>0</vt:i4>
      </vt:variant>
      <vt:variant>
        <vt:i4>5</vt:i4>
      </vt:variant>
      <vt:variant>
        <vt:lpwstr/>
      </vt:variant>
      <vt:variant>
        <vt:lpwstr>_Toc61948923</vt:lpwstr>
      </vt:variant>
      <vt:variant>
        <vt:i4>1638453</vt:i4>
      </vt:variant>
      <vt:variant>
        <vt:i4>14</vt:i4>
      </vt:variant>
      <vt:variant>
        <vt:i4>0</vt:i4>
      </vt:variant>
      <vt:variant>
        <vt:i4>5</vt:i4>
      </vt:variant>
      <vt:variant>
        <vt:lpwstr/>
      </vt:variant>
      <vt:variant>
        <vt:lpwstr>_Toc61948922</vt:lpwstr>
      </vt:variant>
      <vt:variant>
        <vt:i4>1703989</vt:i4>
      </vt:variant>
      <vt:variant>
        <vt:i4>8</vt:i4>
      </vt:variant>
      <vt:variant>
        <vt:i4>0</vt:i4>
      </vt:variant>
      <vt:variant>
        <vt:i4>5</vt:i4>
      </vt:variant>
      <vt:variant>
        <vt:lpwstr/>
      </vt:variant>
      <vt:variant>
        <vt:lpwstr>_Toc61948921</vt:lpwstr>
      </vt:variant>
      <vt:variant>
        <vt:i4>1769525</vt:i4>
      </vt:variant>
      <vt:variant>
        <vt:i4>2</vt:i4>
      </vt:variant>
      <vt:variant>
        <vt:i4>0</vt:i4>
      </vt:variant>
      <vt:variant>
        <vt:i4>5</vt:i4>
      </vt:variant>
      <vt:variant>
        <vt:lpwstr/>
      </vt:variant>
      <vt:variant>
        <vt:lpwstr>_Toc61948920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2021-05-27T21:11:00Z</dcterms:created>
  <dcterms:modified xsi:type="dcterms:W3CDTF">2021-05-27T21:11:00Z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